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hint="eastAsia" w:ascii="方正小标宋简体" w:hAnsi="方正小标宋简体" w:eastAsia="方正小标宋简体" w:cs="方正小标宋简体"/>
          <w:kern w:val="2"/>
          <w:sz w:val="36"/>
          <w:szCs w:val="36"/>
          <w:lang w:val="en-US" w:eastAsia="zh-CN" w:bidi="ar-SA"/>
        </w:rPr>
        <w:id w:val="147452686"/>
        <w15:color w:val="DBDBDB"/>
        <w:docPartObj>
          <w:docPartGallery w:val="Table of Contents"/>
          <w:docPartUnique/>
        </w:docPartObj>
      </w:sdtPr>
      <w:sdtEndPr>
        <w:rPr>
          <w:rFonts w:hint="eastAsia" w:ascii="黑体" w:hAnsi="黑体" w:eastAsia="黑体" w:cs="黑体"/>
          <w:b/>
          <w:bCs/>
          <w:color w:val="auto"/>
          <w:spacing w:val="0"/>
          <w:kern w:val="2"/>
          <w:position w:val="0"/>
          <w:sz w:val="21"/>
          <w:szCs w:val="32"/>
          <w:lang w:val="en-US" w:eastAsia="zh-CN" w:bidi="ar"/>
        </w:rPr>
      </w:sdtEndPr>
      <w:sdtContent>
        <w:p>
          <w:pPr>
            <w:spacing w:before="0" w:beforeLines="0" w:after="0" w:afterLines="0" w:line="240" w:lineRule="auto"/>
            <w:ind w:left="0" w:leftChars="0" w:right="0" w:rightChars="0" w:firstLine="0" w:firstLineChars="0"/>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目</w:t>
          </w:r>
          <w:r>
            <w:rPr>
              <w:rFonts w:hint="eastAsia" w:ascii="方正小标宋简体" w:hAnsi="方正小标宋简体" w:eastAsia="方正小标宋简体" w:cs="方正小标宋简体"/>
              <w:sz w:val="36"/>
              <w:szCs w:val="36"/>
              <w:lang w:val="en-US" w:eastAsia="zh-CN"/>
            </w:rPr>
            <w:t xml:space="preserve">  </w:t>
          </w:r>
          <w:r>
            <w:rPr>
              <w:rFonts w:hint="eastAsia" w:ascii="方正小标宋简体" w:hAnsi="方正小标宋简体" w:eastAsia="方正小标宋简体" w:cs="方正小标宋简体"/>
              <w:sz w:val="36"/>
              <w:szCs w:val="36"/>
            </w:rPr>
            <w:t>录</w:t>
          </w:r>
        </w:p>
        <w:p>
          <w:pPr>
            <w:pStyle w:val="23"/>
            <w:keepNext w:val="0"/>
            <w:keepLines w:val="0"/>
            <w:pageBreakBefore w:val="0"/>
            <w:widowControl/>
            <w:tabs>
              <w:tab w:val="right" w:leader="dot" w:pos="8845"/>
            </w:tabs>
            <w:kinsoku/>
            <w:wordWrap/>
            <w:overflowPunct/>
            <w:autoSpaceDE/>
            <w:autoSpaceDN/>
            <w:bidi w:val="0"/>
            <w:adjustRightInd/>
            <w:snapToGrid/>
            <w:spacing w:line="360" w:lineRule="auto"/>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val="0"/>
              <w:bCs/>
              <w:color w:val="auto"/>
              <w:spacing w:val="0"/>
              <w:kern w:val="2"/>
              <w:position w:val="0"/>
              <w:sz w:val="32"/>
              <w:szCs w:val="32"/>
              <w:lang w:val="en-US" w:eastAsia="zh-CN" w:bidi="ar"/>
            </w:rPr>
            <w:fldChar w:fldCharType="begin"/>
          </w:r>
          <w:r>
            <w:rPr>
              <w:rFonts w:hint="eastAsia" w:ascii="仿宋_GB2312" w:hAnsi="仿宋_GB2312" w:eastAsia="仿宋_GB2312" w:cs="仿宋_GB2312"/>
              <w:b w:val="0"/>
              <w:bCs/>
              <w:color w:val="auto"/>
              <w:spacing w:val="0"/>
              <w:kern w:val="2"/>
              <w:position w:val="0"/>
              <w:sz w:val="32"/>
              <w:szCs w:val="32"/>
              <w:lang w:val="en-US" w:eastAsia="zh-CN" w:bidi="ar"/>
            </w:rPr>
            <w:instrText xml:space="preserve">TOC \o "1-2" \h \u </w:instrText>
          </w:r>
          <w:r>
            <w:rPr>
              <w:rFonts w:hint="eastAsia" w:ascii="仿宋_GB2312" w:hAnsi="仿宋_GB2312" w:eastAsia="仿宋_GB2312" w:cs="仿宋_GB2312"/>
              <w:b w:val="0"/>
              <w:bCs/>
              <w:color w:val="auto"/>
              <w:spacing w:val="0"/>
              <w:kern w:val="2"/>
              <w:position w:val="0"/>
              <w:sz w:val="32"/>
              <w:szCs w:val="32"/>
              <w:lang w:val="en-US" w:eastAsia="zh-CN" w:bidi="ar"/>
            </w:rPr>
            <w:fldChar w:fldCharType="separate"/>
          </w:r>
          <w:r>
            <w:rPr>
              <w:rFonts w:hint="eastAsia" w:ascii="仿宋_GB2312" w:hAnsi="仿宋_GB2312" w:eastAsia="仿宋_GB2312" w:cs="仿宋_GB2312"/>
              <w:b/>
              <w:bCs/>
              <w:color w:val="auto"/>
              <w:spacing w:val="0"/>
              <w:kern w:val="2"/>
              <w:position w:val="0"/>
              <w:sz w:val="32"/>
              <w:szCs w:val="32"/>
              <w:lang w:val="en-US" w:eastAsia="zh-CN" w:bidi="ar"/>
            </w:rPr>
            <w:fldChar w:fldCharType="begin"/>
          </w:r>
          <w:r>
            <w:rPr>
              <w:rFonts w:hint="eastAsia" w:ascii="仿宋_GB2312" w:hAnsi="仿宋_GB2312" w:eastAsia="仿宋_GB2312" w:cs="仿宋_GB2312"/>
              <w:b/>
              <w:bCs/>
              <w:spacing w:val="0"/>
              <w:kern w:val="2"/>
              <w:position w:val="0"/>
              <w:sz w:val="32"/>
              <w:szCs w:val="32"/>
              <w:lang w:val="en-US" w:eastAsia="zh-CN" w:bidi="ar"/>
            </w:rPr>
            <w:instrText xml:space="preserve"> HYPERLINK \l _Toc24644 </w:instrText>
          </w:r>
          <w:r>
            <w:rPr>
              <w:rFonts w:hint="eastAsia" w:ascii="仿宋_GB2312" w:hAnsi="仿宋_GB2312" w:eastAsia="仿宋_GB2312" w:cs="仿宋_GB2312"/>
              <w:b/>
              <w:bCs/>
              <w:spacing w:val="0"/>
              <w:kern w:val="2"/>
              <w:position w:val="0"/>
              <w:sz w:val="32"/>
              <w:szCs w:val="32"/>
              <w:lang w:val="en-US" w:eastAsia="zh-CN" w:bidi="ar"/>
            </w:rPr>
            <w:fldChar w:fldCharType="separate"/>
          </w:r>
          <w:r>
            <w:rPr>
              <w:rFonts w:hint="eastAsia" w:ascii="仿宋_GB2312" w:hAnsi="仿宋_GB2312" w:eastAsia="仿宋_GB2312" w:cs="仿宋_GB2312"/>
              <w:b/>
              <w:bCs/>
              <w:spacing w:val="0"/>
              <w:kern w:val="2"/>
              <w:position w:val="0"/>
              <w:sz w:val="32"/>
              <w:szCs w:val="32"/>
              <w:lang w:val="en-US" w:eastAsia="zh-CN" w:bidi="ar"/>
            </w:rPr>
            <w:t>一、总体情况</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_Toc24644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1</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bCs/>
              <w:color w:val="auto"/>
              <w:spacing w:val="0"/>
              <w:kern w:val="2"/>
              <w:position w:val="0"/>
              <w:sz w:val="32"/>
              <w:szCs w:val="32"/>
              <w:lang w:val="en-US" w:eastAsia="zh-CN" w:bidi="ar"/>
            </w:rPr>
            <w:fldChar w:fldCharType="end"/>
          </w:r>
        </w:p>
        <w:p>
          <w:pPr>
            <w:pStyle w:val="24"/>
            <w:keepNext w:val="0"/>
            <w:keepLines w:val="0"/>
            <w:pageBreakBefore w:val="0"/>
            <w:widowControl/>
            <w:tabs>
              <w:tab w:val="right" w:leader="dot" w:pos="8845"/>
            </w:tabs>
            <w:kinsoku/>
            <w:wordWrap/>
            <w:overflowPunct/>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_Toc26940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spacing w:val="0"/>
              <w:kern w:val="2"/>
              <w:position w:val="0"/>
              <w:sz w:val="32"/>
              <w:szCs w:val="32"/>
              <w:lang w:val="en-US" w:eastAsia="zh-CN" w:bidi="ar"/>
            </w:rPr>
            <w:t>（一）政策措施评估情况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_Toc26940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24"/>
            <w:keepNext w:val="0"/>
            <w:keepLines w:val="0"/>
            <w:pageBreakBefore w:val="0"/>
            <w:widowControl/>
            <w:tabs>
              <w:tab w:val="right" w:leader="dot" w:pos="8845"/>
            </w:tabs>
            <w:kinsoku/>
            <w:wordWrap/>
            <w:overflowPunct/>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_Toc22488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spacing w:val="0"/>
              <w:kern w:val="2"/>
              <w:position w:val="0"/>
              <w:sz w:val="32"/>
              <w:szCs w:val="32"/>
              <w:lang w:val="en-US" w:eastAsia="zh-CN" w:bidi="ar"/>
            </w:rPr>
            <w:t>（二）审查清理情况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_Toc22488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24"/>
            <w:keepNext w:val="0"/>
            <w:keepLines w:val="0"/>
            <w:pageBreakBefore w:val="0"/>
            <w:widowControl/>
            <w:tabs>
              <w:tab w:val="right" w:leader="dot" w:pos="8845"/>
            </w:tabs>
            <w:kinsoku/>
            <w:wordWrap/>
            <w:overflowPunct/>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_Toc3882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spacing w:val="0"/>
              <w:kern w:val="2"/>
              <w:position w:val="0"/>
              <w:sz w:val="32"/>
              <w:szCs w:val="32"/>
              <w:lang w:val="en-US" w:eastAsia="zh-CN" w:bidi="ar"/>
            </w:rPr>
            <w:t>（三）工作部署落实情况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_Toc3882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23"/>
            <w:keepNext w:val="0"/>
            <w:keepLines w:val="0"/>
            <w:pageBreakBefore w:val="0"/>
            <w:widowControl/>
            <w:tabs>
              <w:tab w:val="right" w:leader="dot" w:pos="8845"/>
            </w:tabs>
            <w:kinsoku/>
            <w:wordWrap/>
            <w:overflowPunct/>
            <w:autoSpaceDE/>
            <w:autoSpaceDN/>
            <w:bidi w:val="0"/>
            <w:adjustRightInd/>
            <w:snapToGrid/>
            <w:spacing w:line="360" w:lineRule="auto"/>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bCs/>
              <w:color w:val="auto"/>
              <w:spacing w:val="0"/>
              <w:kern w:val="2"/>
              <w:position w:val="0"/>
              <w:sz w:val="32"/>
              <w:szCs w:val="32"/>
              <w:lang w:val="en-US" w:eastAsia="zh-CN" w:bidi="ar"/>
            </w:rPr>
            <w:fldChar w:fldCharType="begin"/>
          </w:r>
          <w:r>
            <w:rPr>
              <w:rFonts w:hint="eastAsia" w:ascii="仿宋_GB2312" w:hAnsi="仿宋_GB2312" w:eastAsia="仿宋_GB2312" w:cs="仿宋_GB2312"/>
              <w:b/>
              <w:bCs/>
              <w:spacing w:val="0"/>
              <w:kern w:val="2"/>
              <w:position w:val="0"/>
              <w:sz w:val="32"/>
              <w:szCs w:val="32"/>
              <w:lang w:val="en-US" w:eastAsia="zh-CN" w:bidi="ar"/>
            </w:rPr>
            <w:instrText xml:space="preserve"> HYPERLINK \l _Toc16569 </w:instrText>
          </w:r>
          <w:r>
            <w:rPr>
              <w:rFonts w:hint="eastAsia" w:ascii="仿宋_GB2312" w:hAnsi="仿宋_GB2312" w:eastAsia="仿宋_GB2312" w:cs="仿宋_GB2312"/>
              <w:b/>
              <w:bCs/>
              <w:spacing w:val="0"/>
              <w:kern w:val="2"/>
              <w:position w:val="0"/>
              <w:sz w:val="32"/>
              <w:szCs w:val="32"/>
              <w:lang w:val="en-US" w:eastAsia="zh-CN" w:bidi="ar"/>
            </w:rPr>
            <w:fldChar w:fldCharType="separate"/>
          </w:r>
          <w:r>
            <w:rPr>
              <w:rFonts w:hint="eastAsia" w:ascii="仿宋_GB2312" w:hAnsi="仿宋_GB2312" w:eastAsia="仿宋_GB2312" w:cs="仿宋_GB2312"/>
              <w:b/>
              <w:bCs/>
              <w:spacing w:val="0"/>
              <w:kern w:val="2"/>
              <w:position w:val="0"/>
              <w:sz w:val="32"/>
              <w:szCs w:val="32"/>
              <w:lang w:val="en-US" w:eastAsia="zh-CN" w:bidi="ar"/>
            </w:rPr>
            <w:t>二、评估发现的问题</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_Toc16569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3</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bCs/>
              <w:color w:val="auto"/>
              <w:spacing w:val="0"/>
              <w:kern w:val="2"/>
              <w:position w:val="0"/>
              <w:sz w:val="32"/>
              <w:szCs w:val="32"/>
              <w:lang w:val="en-US" w:eastAsia="zh-CN" w:bidi="ar"/>
            </w:rPr>
            <w:fldChar w:fldCharType="end"/>
          </w:r>
        </w:p>
        <w:p>
          <w:pPr>
            <w:pStyle w:val="23"/>
            <w:keepNext w:val="0"/>
            <w:keepLines w:val="0"/>
            <w:pageBreakBefore w:val="0"/>
            <w:widowControl/>
            <w:tabs>
              <w:tab w:val="right" w:leader="dot" w:pos="8845"/>
            </w:tabs>
            <w:kinsoku/>
            <w:wordWrap/>
            <w:overflowPunct/>
            <w:autoSpaceDE/>
            <w:autoSpaceDN/>
            <w:bidi w:val="0"/>
            <w:adjustRightInd/>
            <w:snapToGrid/>
            <w:spacing w:line="360" w:lineRule="auto"/>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bCs/>
              <w:color w:val="auto"/>
              <w:spacing w:val="0"/>
              <w:kern w:val="2"/>
              <w:position w:val="0"/>
              <w:sz w:val="32"/>
              <w:szCs w:val="32"/>
              <w:lang w:val="en-US" w:eastAsia="zh-CN" w:bidi="ar"/>
            </w:rPr>
            <w:fldChar w:fldCharType="begin"/>
          </w:r>
          <w:r>
            <w:rPr>
              <w:rFonts w:hint="eastAsia" w:ascii="仿宋_GB2312" w:hAnsi="仿宋_GB2312" w:eastAsia="仿宋_GB2312" w:cs="仿宋_GB2312"/>
              <w:b/>
              <w:bCs/>
              <w:spacing w:val="0"/>
              <w:kern w:val="2"/>
              <w:position w:val="0"/>
              <w:sz w:val="32"/>
              <w:szCs w:val="32"/>
              <w:lang w:val="en-US" w:eastAsia="zh-CN" w:bidi="ar"/>
            </w:rPr>
            <w:instrText xml:space="preserve"> HYPERLINK \l _Toc8506 </w:instrText>
          </w:r>
          <w:r>
            <w:rPr>
              <w:rFonts w:hint="eastAsia" w:ascii="仿宋_GB2312" w:hAnsi="仿宋_GB2312" w:eastAsia="仿宋_GB2312" w:cs="仿宋_GB2312"/>
              <w:b/>
              <w:bCs/>
              <w:spacing w:val="0"/>
              <w:kern w:val="2"/>
              <w:position w:val="0"/>
              <w:sz w:val="32"/>
              <w:szCs w:val="32"/>
              <w:lang w:val="en-US" w:eastAsia="zh-CN" w:bidi="ar"/>
            </w:rPr>
            <w:fldChar w:fldCharType="separate"/>
          </w:r>
          <w:r>
            <w:rPr>
              <w:rFonts w:hint="eastAsia" w:ascii="仿宋_GB2312" w:hAnsi="仿宋_GB2312" w:eastAsia="仿宋_GB2312" w:cs="仿宋_GB2312"/>
              <w:b/>
              <w:bCs/>
              <w:spacing w:val="0"/>
              <w:kern w:val="2"/>
              <w:position w:val="0"/>
              <w:sz w:val="32"/>
              <w:szCs w:val="32"/>
              <w:lang w:val="en-US" w:eastAsia="zh-CN" w:bidi="ar"/>
            </w:rPr>
            <w:t>三、评估结果</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_Toc8506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15</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bCs/>
              <w:color w:val="auto"/>
              <w:spacing w:val="0"/>
              <w:kern w:val="2"/>
              <w:position w:val="0"/>
              <w:sz w:val="32"/>
              <w:szCs w:val="32"/>
              <w:lang w:val="en-US" w:eastAsia="zh-CN" w:bidi="ar"/>
            </w:rPr>
            <w:fldChar w:fldCharType="end"/>
          </w:r>
        </w:p>
        <w:p>
          <w:pPr>
            <w:pStyle w:val="24"/>
            <w:keepNext w:val="0"/>
            <w:keepLines w:val="0"/>
            <w:pageBreakBefore w:val="0"/>
            <w:widowControl/>
            <w:tabs>
              <w:tab w:val="right" w:leader="dot" w:pos="8845"/>
            </w:tabs>
            <w:kinsoku/>
            <w:wordWrap/>
            <w:overflowPunct/>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_Toc26518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spacing w:val="0"/>
              <w:kern w:val="2"/>
              <w:position w:val="0"/>
              <w:sz w:val="32"/>
              <w:szCs w:val="32"/>
              <w:lang w:val="en-US" w:eastAsia="zh-CN" w:bidi="ar"/>
            </w:rPr>
            <w:t>（一）工作部署落实情况得分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_Toc26518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24"/>
            <w:keepNext w:val="0"/>
            <w:keepLines w:val="0"/>
            <w:pageBreakBefore w:val="0"/>
            <w:widowControl/>
            <w:tabs>
              <w:tab w:val="right" w:leader="dot" w:pos="8845"/>
            </w:tabs>
            <w:kinsoku/>
            <w:wordWrap/>
            <w:overflowPunct/>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_Toc18388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spacing w:val="0"/>
              <w:w w:val="100"/>
              <w:kern w:val="0"/>
              <w:position w:val="0"/>
              <w:sz w:val="32"/>
              <w:szCs w:val="32"/>
              <w:lang w:val="en-US" w:eastAsia="zh-CN" w:bidi="ar"/>
            </w:rPr>
            <w:t>（二）政策措施抽样评估得分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_Toc18388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24"/>
            <w:keepNext w:val="0"/>
            <w:keepLines w:val="0"/>
            <w:pageBreakBefore w:val="0"/>
            <w:widowControl/>
            <w:tabs>
              <w:tab w:val="right" w:leader="dot" w:pos="8845"/>
            </w:tabs>
            <w:kinsoku/>
            <w:wordWrap/>
            <w:overflowPunct/>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_Toc29143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spacing w:val="0"/>
              <w:w w:val="100"/>
              <w:kern w:val="0"/>
              <w:position w:val="0"/>
              <w:sz w:val="32"/>
              <w:szCs w:val="32"/>
              <w:lang w:val="en-US" w:eastAsia="zh-CN" w:bidi="ar"/>
            </w:rPr>
            <w:t>（三）公平竞争审查第三方评估工作配合情况得分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_Toc29143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24"/>
            <w:keepNext w:val="0"/>
            <w:keepLines w:val="0"/>
            <w:pageBreakBefore w:val="0"/>
            <w:widowControl/>
            <w:tabs>
              <w:tab w:val="right" w:leader="dot" w:pos="8845"/>
            </w:tabs>
            <w:kinsoku/>
            <w:wordWrap/>
            <w:overflowPunct/>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_Toc9611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spacing w:val="0"/>
              <w:w w:val="100"/>
              <w:kern w:val="0"/>
              <w:position w:val="0"/>
              <w:sz w:val="32"/>
              <w:szCs w:val="32"/>
              <w:lang w:val="en-US" w:eastAsia="zh-CN" w:bidi="ar"/>
            </w:rPr>
            <w:t>（四）公平竞争审查第三方评估最终得分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_Toc9611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23"/>
            <w:keepNext w:val="0"/>
            <w:keepLines w:val="0"/>
            <w:pageBreakBefore w:val="0"/>
            <w:widowControl/>
            <w:tabs>
              <w:tab w:val="right" w:leader="dot" w:pos="8845"/>
            </w:tabs>
            <w:kinsoku/>
            <w:wordWrap/>
            <w:overflowPunct/>
            <w:autoSpaceDE/>
            <w:autoSpaceDN/>
            <w:bidi w:val="0"/>
            <w:adjustRightInd/>
            <w:snapToGrid/>
            <w:spacing w:line="360" w:lineRule="auto"/>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bCs/>
              <w:color w:val="auto"/>
              <w:spacing w:val="0"/>
              <w:kern w:val="2"/>
              <w:position w:val="0"/>
              <w:sz w:val="32"/>
              <w:szCs w:val="32"/>
              <w:lang w:val="en-US" w:eastAsia="zh-CN" w:bidi="ar"/>
            </w:rPr>
            <w:fldChar w:fldCharType="begin"/>
          </w:r>
          <w:r>
            <w:rPr>
              <w:rFonts w:hint="eastAsia" w:ascii="仿宋_GB2312" w:hAnsi="仿宋_GB2312" w:eastAsia="仿宋_GB2312" w:cs="仿宋_GB2312"/>
              <w:b/>
              <w:bCs/>
              <w:spacing w:val="0"/>
              <w:kern w:val="2"/>
              <w:position w:val="0"/>
              <w:sz w:val="32"/>
              <w:szCs w:val="32"/>
              <w:lang w:val="en-US" w:eastAsia="zh-CN" w:bidi="ar"/>
            </w:rPr>
            <w:instrText xml:space="preserve"> HYPERLINK \l _Toc32616 </w:instrText>
          </w:r>
          <w:r>
            <w:rPr>
              <w:rFonts w:hint="eastAsia" w:ascii="仿宋_GB2312" w:hAnsi="仿宋_GB2312" w:eastAsia="仿宋_GB2312" w:cs="仿宋_GB2312"/>
              <w:b/>
              <w:bCs/>
              <w:spacing w:val="0"/>
              <w:kern w:val="2"/>
              <w:position w:val="0"/>
              <w:sz w:val="32"/>
              <w:szCs w:val="32"/>
              <w:lang w:val="en-US" w:eastAsia="zh-CN" w:bidi="ar"/>
            </w:rPr>
            <w:fldChar w:fldCharType="separate"/>
          </w:r>
          <w:r>
            <w:rPr>
              <w:rFonts w:hint="eastAsia" w:ascii="仿宋_GB2312" w:hAnsi="仿宋_GB2312" w:eastAsia="仿宋_GB2312" w:cs="仿宋_GB2312"/>
              <w:b/>
              <w:bCs/>
              <w:spacing w:val="0"/>
              <w:kern w:val="2"/>
              <w:position w:val="0"/>
              <w:sz w:val="32"/>
              <w:szCs w:val="32"/>
              <w:lang w:val="en-US" w:eastAsia="zh-CN" w:bidi="ar"/>
            </w:rPr>
            <w:t>四、意见建议</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_Toc32616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18</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bCs/>
              <w:color w:val="auto"/>
              <w:spacing w:val="0"/>
              <w:kern w:val="2"/>
              <w:position w:val="0"/>
              <w:sz w:val="32"/>
              <w:szCs w:val="32"/>
              <w:lang w:val="en-US" w:eastAsia="zh-CN" w:bidi="ar"/>
            </w:rPr>
            <w:fldChar w:fldCharType="end"/>
          </w:r>
        </w:p>
        <w:p>
          <w:pPr>
            <w:pStyle w:val="24"/>
            <w:keepNext w:val="0"/>
            <w:keepLines w:val="0"/>
            <w:pageBreakBefore w:val="0"/>
            <w:widowControl/>
            <w:tabs>
              <w:tab w:val="right" w:leader="dot" w:pos="8845"/>
            </w:tabs>
            <w:kinsoku/>
            <w:wordWrap/>
            <w:overflowPunct/>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_Toc13397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spacing w:val="0"/>
              <w:w w:val="100"/>
              <w:position w:val="0"/>
              <w:sz w:val="32"/>
              <w:szCs w:val="32"/>
              <w:lang w:val="en-US" w:eastAsia="zh-CN"/>
            </w:rPr>
            <w:t>（一）加强审查机制建设，健全审查保障机制</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_Toc13397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24"/>
            <w:keepNext w:val="0"/>
            <w:keepLines w:val="0"/>
            <w:pageBreakBefore w:val="0"/>
            <w:widowControl/>
            <w:tabs>
              <w:tab w:val="right" w:leader="dot" w:pos="8845"/>
            </w:tabs>
            <w:kinsoku/>
            <w:wordWrap/>
            <w:overflowPunct/>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_Toc10675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spacing w:val="0"/>
              <w:w w:val="100"/>
              <w:position w:val="0"/>
              <w:sz w:val="32"/>
              <w:szCs w:val="32"/>
              <w:lang w:val="en-US" w:eastAsia="zh-CN"/>
            </w:rPr>
            <w:t>（二）加强内部培训，奠定工作基础</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_Toc10675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24"/>
            <w:keepNext w:val="0"/>
            <w:keepLines w:val="0"/>
            <w:pageBreakBefore w:val="0"/>
            <w:widowControl/>
            <w:tabs>
              <w:tab w:val="right" w:leader="dot" w:pos="8845"/>
            </w:tabs>
            <w:kinsoku/>
            <w:wordWrap/>
            <w:overflowPunct/>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_Toc14870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spacing w:val="0"/>
              <w:w w:val="100"/>
              <w:position w:val="0"/>
              <w:sz w:val="32"/>
              <w:szCs w:val="32"/>
              <w:lang w:val="en-US" w:eastAsia="zh-CN"/>
            </w:rPr>
            <w:t>（三）聘请第三方进行审查，增强审查专业性</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_Toc14870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24"/>
            <w:keepNext w:val="0"/>
            <w:keepLines w:val="0"/>
            <w:pageBreakBefore w:val="0"/>
            <w:widowControl/>
            <w:tabs>
              <w:tab w:val="right" w:leader="dot" w:pos="8845"/>
            </w:tabs>
            <w:kinsoku/>
            <w:wordWrap/>
            <w:overflowPunct/>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_Toc28840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spacing w:val="0"/>
              <w:w w:val="100"/>
              <w:position w:val="0"/>
              <w:sz w:val="32"/>
              <w:szCs w:val="32"/>
              <w:lang w:val="en-US" w:eastAsia="zh-CN"/>
            </w:rPr>
            <w:t>（四）利用好公平竞争审查投诉举报回应机制</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_Toc28840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23"/>
            <w:keepNext w:val="0"/>
            <w:keepLines w:val="0"/>
            <w:pageBreakBefore w:val="0"/>
            <w:widowControl/>
            <w:tabs>
              <w:tab w:val="right" w:leader="dot" w:pos="8845"/>
            </w:tabs>
            <w:kinsoku/>
            <w:wordWrap/>
            <w:overflowPunct/>
            <w:autoSpaceDE/>
            <w:autoSpaceDN/>
            <w:bidi w:val="0"/>
            <w:adjustRightInd/>
            <w:snapToGrid/>
            <w:spacing w:line="360" w:lineRule="auto"/>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bCs/>
              <w:color w:val="auto"/>
              <w:spacing w:val="0"/>
              <w:kern w:val="2"/>
              <w:position w:val="0"/>
              <w:sz w:val="32"/>
              <w:szCs w:val="32"/>
              <w:lang w:val="en-US" w:eastAsia="zh-CN" w:bidi="ar"/>
            </w:rPr>
            <w:fldChar w:fldCharType="begin"/>
          </w:r>
          <w:r>
            <w:rPr>
              <w:rFonts w:hint="eastAsia" w:ascii="仿宋_GB2312" w:hAnsi="仿宋_GB2312" w:eastAsia="仿宋_GB2312" w:cs="仿宋_GB2312"/>
              <w:b/>
              <w:bCs/>
              <w:spacing w:val="0"/>
              <w:kern w:val="2"/>
              <w:position w:val="0"/>
              <w:sz w:val="32"/>
              <w:szCs w:val="32"/>
              <w:lang w:val="en-US" w:eastAsia="zh-CN" w:bidi="ar"/>
            </w:rPr>
            <w:instrText xml:space="preserve"> HYPERLINK \l _Toc10801 </w:instrText>
          </w:r>
          <w:r>
            <w:rPr>
              <w:rFonts w:hint="eastAsia" w:ascii="仿宋_GB2312" w:hAnsi="仿宋_GB2312" w:eastAsia="仿宋_GB2312" w:cs="仿宋_GB2312"/>
              <w:b/>
              <w:bCs/>
              <w:spacing w:val="0"/>
              <w:kern w:val="2"/>
              <w:position w:val="0"/>
              <w:sz w:val="32"/>
              <w:szCs w:val="32"/>
              <w:lang w:val="en-US" w:eastAsia="zh-CN" w:bidi="ar"/>
            </w:rPr>
            <w:fldChar w:fldCharType="separate"/>
          </w:r>
          <w:r>
            <w:rPr>
              <w:rFonts w:hint="eastAsia" w:ascii="仿宋_GB2312" w:hAnsi="仿宋_GB2312" w:eastAsia="仿宋_GB2312" w:cs="仿宋_GB2312"/>
              <w:b/>
              <w:bCs/>
              <w:spacing w:val="0"/>
              <w:kern w:val="2"/>
              <w:position w:val="0"/>
              <w:sz w:val="32"/>
              <w:szCs w:val="32"/>
              <w:lang w:val="en-US" w:eastAsia="zh-CN" w:bidi="ar"/>
            </w:rPr>
            <w:t>附件一：高台县政策措施文件目录</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_Toc10801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22</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bCs/>
              <w:color w:val="auto"/>
              <w:spacing w:val="0"/>
              <w:kern w:val="2"/>
              <w:position w:val="0"/>
              <w:sz w:val="32"/>
              <w:szCs w:val="32"/>
              <w:lang w:val="en-US" w:eastAsia="zh-CN" w:bidi="ar"/>
            </w:rPr>
            <w:fldChar w:fldCharType="end"/>
          </w:r>
        </w:p>
        <w:p>
          <w:pPr>
            <w:pStyle w:val="23"/>
            <w:keepNext w:val="0"/>
            <w:keepLines w:val="0"/>
            <w:pageBreakBefore w:val="0"/>
            <w:widowControl/>
            <w:tabs>
              <w:tab w:val="right" w:leader="dot" w:pos="8845"/>
            </w:tabs>
            <w:kinsoku/>
            <w:wordWrap/>
            <w:overflowPunct/>
            <w:autoSpaceDE/>
            <w:autoSpaceDN/>
            <w:bidi w:val="0"/>
            <w:adjustRightInd/>
            <w:snapToGrid/>
            <w:spacing w:line="360" w:lineRule="auto"/>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bCs/>
              <w:color w:val="auto"/>
              <w:spacing w:val="0"/>
              <w:kern w:val="2"/>
              <w:position w:val="0"/>
              <w:sz w:val="32"/>
              <w:szCs w:val="32"/>
              <w:lang w:val="en-US" w:eastAsia="zh-CN" w:bidi="ar"/>
            </w:rPr>
            <w:fldChar w:fldCharType="begin"/>
          </w:r>
          <w:r>
            <w:rPr>
              <w:rFonts w:hint="eastAsia" w:ascii="仿宋_GB2312" w:hAnsi="仿宋_GB2312" w:eastAsia="仿宋_GB2312" w:cs="仿宋_GB2312"/>
              <w:b/>
              <w:bCs/>
              <w:spacing w:val="0"/>
              <w:kern w:val="2"/>
              <w:position w:val="0"/>
              <w:sz w:val="32"/>
              <w:szCs w:val="32"/>
              <w:lang w:val="en-US" w:eastAsia="zh-CN" w:bidi="ar"/>
            </w:rPr>
            <w:instrText xml:space="preserve"> HYPERLINK \l _Toc9397 </w:instrText>
          </w:r>
          <w:r>
            <w:rPr>
              <w:rFonts w:hint="eastAsia" w:ascii="仿宋_GB2312" w:hAnsi="仿宋_GB2312" w:eastAsia="仿宋_GB2312" w:cs="仿宋_GB2312"/>
              <w:b/>
              <w:bCs/>
              <w:spacing w:val="0"/>
              <w:kern w:val="2"/>
              <w:position w:val="0"/>
              <w:sz w:val="32"/>
              <w:szCs w:val="32"/>
              <w:lang w:val="en-US" w:eastAsia="zh-CN" w:bidi="ar"/>
            </w:rPr>
            <w:fldChar w:fldCharType="separate"/>
          </w:r>
          <w:r>
            <w:rPr>
              <w:rFonts w:hint="eastAsia" w:ascii="仿宋_GB2312" w:hAnsi="仿宋_GB2312" w:eastAsia="仿宋_GB2312" w:cs="仿宋_GB2312"/>
              <w:b/>
              <w:bCs/>
              <w:spacing w:val="0"/>
              <w:kern w:val="2"/>
              <w:position w:val="0"/>
              <w:sz w:val="32"/>
              <w:szCs w:val="32"/>
              <w:lang w:val="en-US" w:eastAsia="zh-CN" w:bidi="ar"/>
            </w:rPr>
            <w:t>附件二：高台县政策措施评估表</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_Toc9397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25</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bCs/>
              <w:color w:val="auto"/>
              <w:spacing w:val="0"/>
              <w:kern w:val="2"/>
              <w:position w:val="0"/>
              <w:sz w:val="32"/>
              <w:szCs w:val="32"/>
              <w:lang w:val="en-US" w:eastAsia="zh-CN" w:bidi="ar"/>
            </w:rPr>
            <w:fldChar w:fldCharType="end"/>
          </w:r>
        </w:p>
        <w:p>
          <w:pPr>
            <w:keepNext w:val="0"/>
            <w:keepLines w:val="0"/>
            <w:pageBreakBefore w:val="0"/>
            <w:widowControl/>
            <w:suppressLineNumbers w:val="0"/>
            <w:kinsoku/>
            <w:wordWrap/>
            <w:overflowPunct/>
            <w:topLinePunct/>
            <w:autoSpaceDE/>
            <w:autoSpaceDN/>
            <w:bidi w:val="0"/>
            <w:adjustRightInd/>
            <w:snapToGrid/>
            <w:spacing w:before="157" w:beforeLines="50" w:beforeAutospacing="0" w:after="157" w:afterLines="50" w:afterAutospacing="0" w:line="360" w:lineRule="auto"/>
            <w:ind w:left="0" w:leftChars="0" w:right="0" w:rightChars="0" w:firstLine="643" w:firstLineChars="200"/>
            <w:jc w:val="both"/>
            <w:textAlignment w:val="auto"/>
            <w:outlineLvl w:val="9"/>
            <w:rPr>
              <w:rFonts w:hint="eastAsia" w:ascii="黑体" w:hAnsi="黑体" w:eastAsia="黑体" w:cs="黑体"/>
              <w:b w:val="0"/>
              <w:bCs/>
              <w:color w:val="auto"/>
              <w:spacing w:val="0"/>
              <w:kern w:val="2"/>
              <w:position w:val="0"/>
              <w:sz w:val="32"/>
              <w:szCs w:val="32"/>
              <w:lang w:val="en-US" w:eastAsia="zh-CN" w:bidi="ar"/>
            </w:rPr>
          </w:pPr>
          <w:r>
            <w:rPr>
              <w:rFonts w:hint="eastAsia" w:ascii="仿宋_GB2312" w:hAnsi="仿宋_GB2312" w:eastAsia="仿宋_GB2312" w:cs="仿宋_GB2312"/>
              <w:b/>
              <w:bCs/>
              <w:color w:val="auto"/>
              <w:spacing w:val="0"/>
              <w:kern w:val="2"/>
              <w:position w:val="0"/>
              <w:sz w:val="32"/>
              <w:szCs w:val="32"/>
              <w:lang w:val="en-US" w:eastAsia="zh-CN" w:bidi="ar"/>
            </w:rPr>
            <w:fldChar w:fldCharType="end"/>
          </w:r>
        </w:p>
      </w:sdtContent>
    </w:sdt>
    <w:p>
      <w:pPr>
        <w:pStyle w:val="2"/>
        <w:rPr>
          <w:rFonts w:hint="eastAsia" w:ascii="黑体" w:hAnsi="黑体" w:eastAsia="黑体" w:cs="黑体"/>
          <w:b w:val="0"/>
          <w:bCs/>
          <w:color w:val="auto"/>
          <w:spacing w:val="0"/>
          <w:kern w:val="2"/>
          <w:position w:val="0"/>
          <w:sz w:val="32"/>
          <w:szCs w:val="32"/>
          <w:lang w:val="en-US" w:eastAsia="zh-CN" w:bidi="ar"/>
        </w:rPr>
      </w:pPr>
    </w:p>
    <w:p>
      <w:pPr>
        <w:keepNext w:val="0"/>
        <w:keepLines w:val="0"/>
        <w:pageBreakBefore w:val="0"/>
        <w:widowControl/>
        <w:suppressLineNumbers w:val="0"/>
        <w:kinsoku/>
        <w:wordWrap/>
        <w:overflowPunct/>
        <w:topLinePunct/>
        <w:autoSpaceDE/>
        <w:autoSpaceDN/>
        <w:bidi w:val="0"/>
        <w:snapToGrid/>
        <w:spacing w:before="157" w:beforeLines="50" w:beforeAutospacing="0" w:after="157" w:afterLines="50" w:afterAutospacing="0" w:line="540" w:lineRule="exact"/>
        <w:ind w:left="0" w:leftChars="0" w:right="0" w:rightChars="0" w:firstLine="640" w:firstLineChars="200"/>
        <w:jc w:val="both"/>
        <w:outlineLvl w:val="0"/>
        <w:rPr>
          <w:rFonts w:hint="eastAsia" w:ascii="黑体" w:hAnsi="黑体" w:eastAsia="黑体" w:cs="黑体"/>
          <w:b w:val="0"/>
          <w:bCs/>
          <w:color w:val="auto"/>
          <w:spacing w:val="0"/>
          <w:kern w:val="2"/>
          <w:position w:val="0"/>
          <w:sz w:val="32"/>
          <w:szCs w:val="32"/>
          <w:lang w:val="en-US" w:eastAsia="zh-CN" w:bidi="ar"/>
        </w:rPr>
        <w:sectPr>
          <w:pgSz w:w="11906" w:h="16839"/>
          <w:pgMar w:top="2098" w:right="1474" w:bottom="1984" w:left="1587" w:header="850" w:footer="1417" w:gutter="0"/>
          <w:pgBorders>
            <w:top w:val="none" w:sz="0" w:space="0"/>
            <w:left w:val="none" w:sz="0" w:space="0"/>
            <w:bottom w:val="none" w:sz="0" w:space="0"/>
            <w:right w:val="none" w:sz="0" w:space="0"/>
          </w:pgBorders>
          <w:pgNumType w:fmt="decimal"/>
          <w:cols w:space="0" w:num="1"/>
          <w:rtlGutter w:val="0"/>
          <w:docGrid w:linePitch="0" w:charSpace="0"/>
        </w:sectPr>
      </w:pPr>
      <w:bookmarkStart w:id="0" w:name="_Toc24644"/>
    </w:p>
    <w:p>
      <w:pPr>
        <w:keepNext w:val="0"/>
        <w:keepLines w:val="0"/>
        <w:pageBreakBefore w:val="0"/>
        <w:widowControl/>
        <w:suppressLineNumbers w:val="0"/>
        <w:kinsoku/>
        <w:wordWrap/>
        <w:overflowPunct/>
        <w:topLinePunct/>
        <w:autoSpaceDE/>
        <w:autoSpaceDN/>
        <w:bidi w:val="0"/>
        <w:snapToGrid/>
        <w:spacing w:before="157" w:beforeLines="50" w:beforeAutospacing="0" w:after="157" w:afterLines="50" w:afterAutospacing="0" w:line="540" w:lineRule="exact"/>
        <w:ind w:left="0" w:leftChars="0" w:right="0" w:rightChars="0" w:firstLine="640" w:firstLineChars="200"/>
        <w:jc w:val="both"/>
        <w:outlineLvl w:val="0"/>
        <w:rPr>
          <w:rFonts w:hint="eastAsia" w:ascii="黑体" w:hAnsi="黑体" w:eastAsia="黑体" w:cs="黑体"/>
          <w:b w:val="0"/>
          <w:bCs/>
          <w:color w:val="auto"/>
          <w:spacing w:val="0"/>
          <w:kern w:val="2"/>
          <w:position w:val="0"/>
          <w:sz w:val="32"/>
          <w:szCs w:val="32"/>
          <w:lang w:val="en-US" w:eastAsia="zh-CN" w:bidi="ar"/>
        </w:rPr>
      </w:pPr>
      <w:r>
        <w:rPr>
          <w:rFonts w:hint="eastAsia" w:ascii="黑体" w:hAnsi="黑体" w:eastAsia="黑体" w:cs="黑体"/>
          <w:b w:val="0"/>
          <w:bCs/>
          <w:color w:val="auto"/>
          <w:spacing w:val="0"/>
          <w:kern w:val="2"/>
          <w:position w:val="0"/>
          <w:sz w:val="32"/>
          <w:szCs w:val="32"/>
          <w:lang w:val="en-US" w:eastAsia="zh-CN" w:bidi="ar"/>
        </w:rPr>
        <w:t>一、总体情况</w:t>
      </w:r>
      <w:bookmarkEnd w:id="0"/>
    </w:p>
    <w:p>
      <w:pPr>
        <w:keepNext w:val="0"/>
        <w:keepLines w:val="0"/>
        <w:pageBreakBefore w:val="0"/>
        <w:widowControl/>
        <w:suppressLineNumbers w:val="0"/>
        <w:kinsoku/>
        <w:wordWrap/>
        <w:overflowPunct/>
        <w:topLinePunct/>
        <w:autoSpaceDE/>
        <w:autoSpaceDN/>
        <w:bidi w:val="0"/>
        <w:snapToGrid/>
        <w:spacing w:beforeAutospacing="0" w:afterAutospacing="0" w:line="540" w:lineRule="exact"/>
        <w:ind w:left="0" w:leftChars="0" w:right="0" w:firstLine="640" w:firstLineChars="200"/>
        <w:jc w:val="both"/>
        <w:rPr>
          <w:rFonts w:hint="eastAsia" w:ascii="仿宋_GB2312" w:hAnsi="仿宋_GB2312" w:eastAsia="仿宋_GB2312" w:cs="仿宋_GB2312"/>
          <w:b w:val="0"/>
          <w:bCs/>
          <w:color w:val="auto"/>
          <w:spacing w:val="0"/>
          <w:kern w:val="2"/>
          <w:position w:val="0"/>
          <w:sz w:val="32"/>
          <w:szCs w:val="32"/>
          <w:lang w:val="en-US" w:eastAsia="zh-CN" w:bidi="ar"/>
        </w:rPr>
      </w:pPr>
      <w:r>
        <w:rPr>
          <w:rFonts w:hint="eastAsia" w:ascii="仿宋_GB2312" w:hAnsi="仿宋_GB2312" w:eastAsia="仿宋_GB2312" w:cs="仿宋_GB2312"/>
          <w:b w:val="0"/>
          <w:bCs/>
          <w:color w:val="auto"/>
          <w:spacing w:val="0"/>
          <w:kern w:val="2"/>
          <w:position w:val="0"/>
          <w:sz w:val="32"/>
          <w:szCs w:val="32"/>
          <w:lang w:val="en-US" w:eastAsia="zh-CN" w:bidi="ar"/>
        </w:rPr>
        <w:t>公平竞争是市场经济的基本原则，是市场机制高效运行的重要基础。公平竞争审查制度的建立及实施，有助于规范政府相关行为，防止出台排除限制市场竞争的政策措施。当前，随着全面深化改革战略的持续推进，全国统一市场的基本形成，公平竞争环境逐步提升。但同时也要看到，地方保护、行业壁垒等不符合建设全国统一市场和公平竞争的现象仍然存在。</w:t>
      </w:r>
    </w:p>
    <w:p>
      <w:pPr>
        <w:keepNext w:val="0"/>
        <w:keepLines w:val="0"/>
        <w:pageBreakBefore w:val="0"/>
        <w:widowControl/>
        <w:suppressLineNumbers w:val="0"/>
        <w:kinsoku/>
        <w:wordWrap/>
        <w:overflowPunct/>
        <w:topLinePunct/>
        <w:autoSpaceDE/>
        <w:autoSpaceDN/>
        <w:bidi w:val="0"/>
        <w:snapToGrid/>
        <w:spacing w:beforeAutospacing="0" w:afterAutospacing="0" w:line="540" w:lineRule="exact"/>
        <w:ind w:left="0" w:leftChars="0" w:right="0" w:firstLine="640" w:firstLineChars="200"/>
        <w:jc w:val="both"/>
        <w:rPr>
          <w:rFonts w:hint="eastAsia" w:ascii="仿宋_GB2312" w:hAnsi="仿宋_GB2312" w:eastAsia="仿宋_GB2312" w:cs="仿宋_GB2312"/>
          <w:b w:val="0"/>
          <w:bCs/>
          <w:color w:val="auto"/>
          <w:spacing w:val="0"/>
          <w:kern w:val="2"/>
          <w:position w:val="0"/>
          <w:sz w:val="32"/>
          <w:szCs w:val="32"/>
          <w:lang w:val="en-US" w:eastAsia="zh-CN" w:bidi="ar"/>
        </w:rPr>
      </w:pPr>
      <w:r>
        <w:rPr>
          <w:rFonts w:hint="eastAsia" w:ascii="仿宋_GB2312" w:hAnsi="仿宋_GB2312" w:eastAsia="仿宋_GB2312" w:cs="仿宋_GB2312"/>
          <w:b w:val="0"/>
          <w:bCs/>
          <w:color w:val="auto"/>
          <w:spacing w:val="0"/>
          <w:kern w:val="2"/>
          <w:position w:val="0"/>
          <w:sz w:val="32"/>
          <w:szCs w:val="32"/>
          <w:lang w:val="en-US" w:eastAsia="zh-CN" w:bidi="ar"/>
        </w:rPr>
        <w:t>为规范政府有关行为，防止出台排除、限制竞争的政策措施，逐步清理废除妨碍全国统一市场和公平竞争的规定和做法，国务院印发了《关于在市场体系建设中建立公平竞争审查制度的意见》（国发〔2016〕34号）（下文简称《意见》），部署建立公平竞争审查制度。</w:t>
      </w:r>
    </w:p>
    <w:p>
      <w:pPr>
        <w:keepNext w:val="0"/>
        <w:keepLines w:val="0"/>
        <w:pageBreakBefore w:val="0"/>
        <w:widowControl/>
        <w:suppressLineNumbers w:val="0"/>
        <w:kinsoku/>
        <w:wordWrap/>
        <w:overflowPunct/>
        <w:topLinePunct/>
        <w:autoSpaceDE/>
        <w:autoSpaceDN/>
        <w:bidi w:val="0"/>
        <w:snapToGrid/>
        <w:spacing w:beforeAutospacing="0" w:afterAutospacing="0" w:line="540" w:lineRule="exact"/>
        <w:ind w:left="0" w:leftChars="0" w:right="0" w:firstLine="640" w:firstLineChars="200"/>
        <w:jc w:val="both"/>
        <w:rPr>
          <w:rFonts w:hint="eastAsia" w:ascii="仿宋_GB2312" w:hAnsi="仿宋_GB2312" w:eastAsia="仿宋_GB2312" w:cs="仿宋_GB2312"/>
          <w:b w:val="0"/>
          <w:bCs/>
          <w:color w:val="auto"/>
          <w:spacing w:val="0"/>
          <w:kern w:val="2"/>
          <w:position w:val="0"/>
          <w:sz w:val="32"/>
          <w:szCs w:val="32"/>
          <w:lang w:val="en-US" w:eastAsia="zh-CN" w:bidi="ar"/>
        </w:rPr>
      </w:pPr>
      <w:r>
        <w:rPr>
          <w:rFonts w:hint="eastAsia" w:ascii="仿宋_GB2312" w:hAnsi="仿宋_GB2312" w:eastAsia="仿宋_GB2312" w:cs="仿宋_GB2312"/>
          <w:b w:val="0"/>
          <w:bCs/>
          <w:color w:val="auto"/>
          <w:spacing w:val="0"/>
          <w:kern w:val="2"/>
          <w:position w:val="0"/>
          <w:sz w:val="32"/>
          <w:szCs w:val="32"/>
          <w:lang w:val="en-US" w:eastAsia="zh-CN" w:bidi="ar"/>
        </w:rPr>
        <w:t>在我国公平竞争审查制度中，第三方评估被作为一项重要的机制写入基本的制度设计。2021年，市场监管总局、国家发展改革委、财政部、商务部、司法部会同有关部门修订的《公平竞争审查制度实施细则》（下文简称《实施细则》）设立专章“第三方评估”，对有关第三方评估问题予以明确，该《实施细则》第二十条规定：“政策制定机关可以根据工作实际，委托具备相应评估能力的高等院校、科研院所、专业咨询公司、律师事务所等第三方机构，对有关政策措施进行公平竞争评估，或者对公平竞争审查有关工作进行评估。各级联席会议办公室可以委托第三方机构，对本地公平竞争审查制度总体实施情况开展评估”。</w:t>
      </w:r>
    </w:p>
    <w:p>
      <w:pPr>
        <w:keepNext w:val="0"/>
        <w:keepLines w:val="0"/>
        <w:pageBreakBefore w:val="0"/>
        <w:widowControl/>
        <w:suppressLineNumbers w:val="0"/>
        <w:kinsoku/>
        <w:wordWrap/>
        <w:overflowPunct/>
        <w:topLinePunct/>
        <w:autoSpaceDE/>
        <w:autoSpaceDN/>
        <w:bidi w:val="0"/>
        <w:snapToGrid/>
        <w:spacing w:beforeAutospacing="0" w:afterAutospacing="0" w:line="540" w:lineRule="exact"/>
        <w:ind w:left="0" w:leftChars="0" w:right="0" w:firstLine="640" w:firstLineChars="200"/>
        <w:jc w:val="both"/>
        <w:rPr>
          <w:rFonts w:hint="eastAsia" w:ascii="仿宋_GB2312" w:hAnsi="仿宋_GB2312" w:eastAsia="仿宋_GB2312" w:cs="仿宋_GB2312"/>
          <w:b w:val="0"/>
          <w:bCs/>
          <w:color w:val="auto"/>
          <w:spacing w:val="0"/>
          <w:kern w:val="2"/>
          <w:position w:val="0"/>
          <w:sz w:val="32"/>
          <w:szCs w:val="32"/>
          <w:lang w:val="en-US" w:eastAsia="zh-CN" w:bidi="ar"/>
        </w:rPr>
      </w:pPr>
      <w:r>
        <w:rPr>
          <w:rFonts w:hint="eastAsia" w:ascii="仿宋_GB2312" w:hAnsi="仿宋_GB2312" w:eastAsia="仿宋_GB2312" w:cs="仿宋_GB2312"/>
          <w:b w:val="0"/>
          <w:bCs/>
          <w:color w:val="auto"/>
          <w:spacing w:val="0"/>
          <w:kern w:val="2"/>
          <w:position w:val="0"/>
          <w:sz w:val="32"/>
          <w:szCs w:val="32"/>
          <w:lang w:val="en-US" w:eastAsia="zh-CN" w:bidi="ar"/>
        </w:rPr>
        <w:t>2022年3月25日，中共中央、国务院发布《关于加快建设全国统一大市场的意见》，意见明确指出：“实行统一的市场准入制度，维护统一的公平竞争制度。破除地方保护和区域壁垒，清理废除妨碍依法平等准入和退出的规定做法，持续清理招标采购领域违反统一市场建设的规定和做法”。</w:t>
      </w:r>
    </w:p>
    <w:p>
      <w:pPr>
        <w:keepNext w:val="0"/>
        <w:keepLines w:val="0"/>
        <w:pageBreakBefore w:val="0"/>
        <w:widowControl/>
        <w:suppressLineNumbers w:val="0"/>
        <w:kinsoku/>
        <w:wordWrap/>
        <w:overflowPunct/>
        <w:topLinePunct/>
        <w:autoSpaceDE/>
        <w:autoSpaceDN/>
        <w:bidi w:val="0"/>
        <w:snapToGrid/>
        <w:spacing w:beforeAutospacing="0" w:afterAutospacing="0" w:line="540" w:lineRule="exact"/>
        <w:ind w:left="0" w:leftChars="0" w:right="0" w:firstLine="640" w:firstLineChars="200"/>
        <w:jc w:val="both"/>
        <w:rPr>
          <w:rFonts w:hint="eastAsia" w:ascii="仿宋_GB2312" w:hAnsi="仿宋_GB2312" w:eastAsia="仿宋_GB2312" w:cs="仿宋_GB2312"/>
          <w:b w:val="0"/>
          <w:bCs/>
          <w:color w:val="auto"/>
          <w:spacing w:val="0"/>
          <w:kern w:val="2"/>
          <w:position w:val="0"/>
          <w:sz w:val="32"/>
          <w:szCs w:val="32"/>
          <w:lang w:val="en-US" w:eastAsia="zh-CN" w:bidi="ar"/>
        </w:rPr>
      </w:pPr>
      <w:r>
        <w:rPr>
          <w:rFonts w:hint="eastAsia" w:ascii="仿宋_GB2312" w:hAnsi="仿宋_GB2312" w:eastAsia="仿宋_GB2312" w:cs="仿宋_GB2312"/>
          <w:b w:val="0"/>
          <w:bCs/>
          <w:color w:val="auto"/>
          <w:spacing w:val="0"/>
          <w:kern w:val="2"/>
          <w:position w:val="0"/>
          <w:sz w:val="32"/>
          <w:szCs w:val="32"/>
          <w:lang w:val="en-US" w:eastAsia="zh-CN" w:bidi="ar"/>
        </w:rPr>
        <w:t>为进一步提高张掖市公平竞争审查质量，确保审查效果，推动审查制度深入实施，防止出台排除、限制市场公平竞争的政策措施，张掖市公平竞争审查工作部门联席会议办公室经过询价遴选甘肃金彤律师事务所对张掖市22个部门单位、6个县区和张掖市经济技术开发区的公平竞争审查制度实施情况进行综合评估。</w:t>
      </w:r>
    </w:p>
    <w:p>
      <w:pPr>
        <w:keepNext w:val="0"/>
        <w:keepLines w:val="0"/>
        <w:pageBreakBefore w:val="0"/>
        <w:widowControl/>
        <w:suppressLineNumbers w:val="0"/>
        <w:kinsoku/>
        <w:wordWrap/>
        <w:overflowPunct/>
        <w:topLinePunct/>
        <w:autoSpaceDE/>
        <w:autoSpaceDN/>
        <w:bidi w:val="0"/>
        <w:snapToGrid/>
        <w:spacing w:beforeAutospacing="0" w:afterAutospacing="0" w:line="540" w:lineRule="exact"/>
        <w:ind w:left="0" w:leftChars="0" w:right="0" w:firstLine="640" w:firstLineChars="200"/>
        <w:jc w:val="both"/>
        <w:rPr>
          <w:rFonts w:hint="eastAsia" w:ascii="仿宋_GB2312" w:hAnsi="仿宋_GB2312" w:eastAsia="仿宋_GB2312" w:cs="仿宋_GB2312"/>
          <w:b w:val="0"/>
          <w:bCs/>
          <w:color w:val="auto"/>
          <w:spacing w:val="0"/>
          <w:kern w:val="2"/>
          <w:position w:val="0"/>
          <w:sz w:val="32"/>
          <w:szCs w:val="32"/>
          <w:lang w:val="en-US" w:eastAsia="zh-CN" w:bidi="ar"/>
        </w:rPr>
      </w:pPr>
      <w:r>
        <w:rPr>
          <w:rFonts w:hint="eastAsia" w:ascii="仿宋_GB2312" w:hAnsi="仿宋_GB2312" w:eastAsia="仿宋_GB2312" w:cs="仿宋_GB2312"/>
          <w:b w:val="0"/>
          <w:bCs/>
          <w:color w:val="auto"/>
          <w:spacing w:val="0"/>
          <w:kern w:val="2"/>
          <w:position w:val="0"/>
          <w:sz w:val="32"/>
          <w:szCs w:val="32"/>
          <w:lang w:val="en-US" w:eastAsia="zh-CN" w:bidi="ar"/>
        </w:rPr>
        <w:t>评估机构审查了高台县提供的2021-2022年度发布的政策措施、填写调查表以及各项补充材料和佐证材料，系统总结了高台县落实公平竞争审查制度、论证了公平竞争制度的环境成效，梳理分析可能存在的问题和原因，提出进一步完善的意见建议。评估总体情况如下：</w:t>
      </w:r>
    </w:p>
    <w:p>
      <w:pPr>
        <w:keepNext w:val="0"/>
        <w:keepLines w:val="0"/>
        <w:pageBreakBefore w:val="0"/>
        <w:widowControl/>
        <w:suppressLineNumbers w:val="0"/>
        <w:kinsoku/>
        <w:wordWrap/>
        <w:overflowPunct/>
        <w:topLinePunct/>
        <w:autoSpaceDE/>
        <w:autoSpaceDN/>
        <w:bidi w:val="0"/>
        <w:snapToGrid/>
        <w:spacing w:beforeAutospacing="0" w:afterAutospacing="0" w:line="540" w:lineRule="exact"/>
        <w:ind w:left="0" w:leftChars="0" w:right="0" w:firstLine="640" w:firstLineChars="200"/>
        <w:jc w:val="both"/>
        <w:outlineLvl w:val="1"/>
        <w:rPr>
          <w:rFonts w:hint="eastAsia" w:ascii="楷体_GB2312" w:hAnsi="楷体_GB2312" w:eastAsia="楷体_GB2312" w:cs="楷体_GB2312"/>
          <w:b w:val="0"/>
          <w:bCs/>
          <w:color w:val="auto"/>
          <w:spacing w:val="0"/>
          <w:kern w:val="2"/>
          <w:position w:val="0"/>
          <w:sz w:val="32"/>
          <w:szCs w:val="32"/>
          <w:lang w:val="en-US" w:eastAsia="zh-CN" w:bidi="ar"/>
        </w:rPr>
      </w:pPr>
      <w:bookmarkStart w:id="1" w:name="_Toc26940"/>
      <w:r>
        <w:rPr>
          <w:rFonts w:hint="eastAsia" w:ascii="楷体_GB2312" w:hAnsi="楷体_GB2312" w:eastAsia="楷体_GB2312" w:cs="楷体_GB2312"/>
          <w:b w:val="0"/>
          <w:bCs/>
          <w:color w:val="auto"/>
          <w:spacing w:val="0"/>
          <w:kern w:val="2"/>
          <w:position w:val="0"/>
          <w:sz w:val="32"/>
          <w:szCs w:val="32"/>
          <w:lang w:val="en-US" w:eastAsia="zh-CN" w:bidi="ar"/>
        </w:rPr>
        <w:t>（一）政策措施评估情况</w:t>
      </w:r>
      <w:bookmarkEnd w:id="1"/>
    </w:p>
    <w:p>
      <w:pPr>
        <w:keepNext w:val="0"/>
        <w:keepLines w:val="0"/>
        <w:pageBreakBefore w:val="0"/>
        <w:widowControl/>
        <w:suppressLineNumbers w:val="0"/>
        <w:kinsoku/>
        <w:wordWrap/>
        <w:overflowPunct/>
        <w:topLinePunct/>
        <w:autoSpaceDE/>
        <w:autoSpaceDN/>
        <w:bidi w:val="0"/>
        <w:snapToGrid/>
        <w:spacing w:beforeAutospacing="0" w:afterAutospacing="0" w:line="540" w:lineRule="exact"/>
        <w:ind w:left="0" w:leftChars="0" w:right="0" w:firstLine="640" w:firstLineChars="200"/>
        <w:jc w:val="both"/>
        <w:rPr>
          <w:rFonts w:hint="eastAsia" w:ascii="仿宋_GB2312" w:hAnsi="仿宋_GB2312" w:eastAsia="仿宋_GB2312" w:cs="仿宋_GB2312"/>
          <w:b w:val="0"/>
          <w:bCs/>
          <w:color w:val="auto"/>
          <w:spacing w:val="0"/>
          <w:kern w:val="2"/>
          <w:position w:val="0"/>
          <w:sz w:val="32"/>
          <w:szCs w:val="32"/>
          <w:lang w:val="en-US" w:eastAsia="zh-CN" w:bidi="ar"/>
        </w:rPr>
      </w:pPr>
      <w:r>
        <w:rPr>
          <w:rFonts w:hint="eastAsia" w:ascii="仿宋_GB2312" w:hAnsi="仿宋_GB2312" w:eastAsia="仿宋_GB2312" w:cs="仿宋_GB2312"/>
          <w:b w:val="0"/>
          <w:bCs/>
          <w:color w:val="auto"/>
          <w:spacing w:val="0"/>
          <w:kern w:val="2"/>
          <w:position w:val="0"/>
          <w:sz w:val="32"/>
          <w:szCs w:val="32"/>
          <w:lang w:val="en-US" w:eastAsia="zh-CN" w:bidi="ar"/>
        </w:rPr>
        <w:t>高台县提交2021年之后由其起草、制定的涉及市场主体经济活动的政策措施共计30份。经过审核，30份增量措施中存在违反公平竞争审查标准的共计11份。</w:t>
      </w:r>
    </w:p>
    <w:p>
      <w:pPr>
        <w:keepNext w:val="0"/>
        <w:keepLines w:val="0"/>
        <w:pageBreakBefore w:val="0"/>
        <w:widowControl/>
        <w:suppressLineNumbers w:val="0"/>
        <w:kinsoku/>
        <w:wordWrap/>
        <w:overflowPunct/>
        <w:topLinePunct/>
        <w:autoSpaceDE/>
        <w:autoSpaceDN/>
        <w:bidi w:val="0"/>
        <w:snapToGrid/>
        <w:spacing w:beforeAutospacing="0" w:afterAutospacing="0" w:line="540" w:lineRule="exact"/>
        <w:ind w:left="0" w:leftChars="0" w:right="0" w:firstLine="640" w:firstLineChars="200"/>
        <w:jc w:val="both"/>
        <w:outlineLvl w:val="1"/>
        <w:rPr>
          <w:rFonts w:hint="eastAsia" w:ascii="楷体_GB2312" w:hAnsi="楷体_GB2312" w:eastAsia="楷体_GB2312" w:cs="楷体_GB2312"/>
          <w:b w:val="0"/>
          <w:bCs/>
          <w:color w:val="auto"/>
          <w:spacing w:val="0"/>
          <w:kern w:val="2"/>
          <w:position w:val="0"/>
          <w:sz w:val="32"/>
          <w:szCs w:val="32"/>
          <w:lang w:val="en-US" w:eastAsia="zh-CN" w:bidi="ar"/>
        </w:rPr>
      </w:pPr>
      <w:bookmarkStart w:id="2" w:name="_Toc22488"/>
      <w:r>
        <w:rPr>
          <w:rFonts w:hint="eastAsia" w:ascii="楷体_GB2312" w:hAnsi="楷体_GB2312" w:eastAsia="楷体_GB2312" w:cs="楷体_GB2312"/>
          <w:b w:val="0"/>
          <w:bCs/>
          <w:color w:val="auto"/>
          <w:spacing w:val="0"/>
          <w:kern w:val="2"/>
          <w:position w:val="0"/>
          <w:sz w:val="32"/>
          <w:szCs w:val="32"/>
          <w:lang w:val="en-US" w:eastAsia="zh-CN" w:bidi="ar"/>
        </w:rPr>
        <w:t>（二）审查清理情况</w:t>
      </w:r>
      <w:bookmarkEnd w:id="2"/>
    </w:p>
    <w:p>
      <w:pPr>
        <w:keepNext w:val="0"/>
        <w:keepLines w:val="0"/>
        <w:pageBreakBefore w:val="0"/>
        <w:widowControl/>
        <w:suppressLineNumbers w:val="0"/>
        <w:kinsoku/>
        <w:wordWrap/>
        <w:overflowPunct/>
        <w:topLinePunct/>
        <w:autoSpaceDE/>
        <w:autoSpaceDN/>
        <w:bidi w:val="0"/>
        <w:snapToGrid/>
        <w:spacing w:beforeAutospacing="0" w:afterAutospacing="0" w:line="540" w:lineRule="exact"/>
        <w:ind w:left="0" w:leftChars="0" w:right="0" w:firstLine="640" w:firstLineChars="200"/>
        <w:jc w:val="both"/>
        <w:rPr>
          <w:rFonts w:hint="eastAsia" w:ascii="仿宋_GB2312" w:hAnsi="仿宋_GB2312" w:eastAsia="仿宋_GB2312" w:cs="仿宋_GB2312"/>
          <w:b w:val="0"/>
          <w:bCs/>
          <w:color w:val="auto"/>
          <w:spacing w:val="0"/>
          <w:kern w:val="2"/>
          <w:position w:val="0"/>
          <w:sz w:val="32"/>
          <w:szCs w:val="32"/>
          <w:lang w:val="en-US" w:eastAsia="zh-CN" w:bidi="ar"/>
        </w:rPr>
      </w:pPr>
      <w:r>
        <w:rPr>
          <w:rFonts w:hint="eastAsia" w:ascii="仿宋_GB2312" w:hAnsi="仿宋_GB2312" w:eastAsia="仿宋_GB2312" w:cs="仿宋_GB2312"/>
          <w:b w:val="0"/>
          <w:bCs/>
          <w:color w:val="auto"/>
          <w:spacing w:val="0"/>
          <w:kern w:val="2"/>
          <w:position w:val="0"/>
          <w:sz w:val="32"/>
          <w:szCs w:val="32"/>
          <w:lang w:val="en-US" w:eastAsia="zh-CN" w:bidi="ar"/>
        </w:rPr>
        <w:t>高台县在开展审查工作过程中，进行了县域范围内的自查并形成了自查报告，提交的30份涉及市场主体经济活动的增量措施中，有5份政策措施未按照公平竞争审查基本流程开展自我审查，未附有《公平竞争审查表》。</w:t>
      </w:r>
    </w:p>
    <w:p>
      <w:pPr>
        <w:keepNext w:val="0"/>
        <w:keepLines w:val="0"/>
        <w:pageBreakBefore w:val="0"/>
        <w:widowControl/>
        <w:suppressLineNumbers w:val="0"/>
        <w:kinsoku/>
        <w:wordWrap/>
        <w:overflowPunct/>
        <w:topLinePunct/>
        <w:autoSpaceDE/>
        <w:autoSpaceDN/>
        <w:bidi w:val="0"/>
        <w:snapToGrid/>
        <w:spacing w:beforeAutospacing="0" w:afterAutospacing="0" w:line="540" w:lineRule="exact"/>
        <w:ind w:left="0" w:leftChars="0" w:right="0" w:firstLine="640" w:firstLineChars="200"/>
        <w:jc w:val="both"/>
        <w:rPr>
          <w:rFonts w:hint="eastAsia" w:ascii="仿宋_GB2312" w:hAnsi="仿宋_GB2312" w:eastAsia="仿宋_GB2312" w:cs="仿宋_GB2312"/>
          <w:b w:val="0"/>
          <w:bCs/>
          <w:color w:val="auto"/>
          <w:spacing w:val="0"/>
          <w:kern w:val="2"/>
          <w:position w:val="0"/>
          <w:sz w:val="32"/>
          <w:szCs w:val="32"/>
          <w:lang w:val="en-US" w:eastAsia="zh-CN" w:bidi="ar"/>
        </w:rPr>
      </w:pPr>
      <w:r>
        <w:rPr>
          <w:rFonts w:hint="eastAsia" w:ascii="仿宋_GB2312" w:hAnsi="仿宋_GB2312" w:eastAsia="仿宋_GB2312" w:cs="仿宋_GB2312"/>
          <w:b w:val="0"/>
          <w:bCs/>
          <w:color w:val="auto"/>
          <w:spacing w:val="0"/>
          <w:kern w:val="2"/>
          <w:position w:val="0"/>
          <w:sz w:val="32"/>
          <w:szCs w:val="32"/>
          <w:lang w:val="en-US" w:eastAsia="zh-CN" w:bidi="ar"/>
        </w:rPr>
        <w:t>对于涉及市场主体经济活动的存量措施，高台县已进行内部审查和清理，形成了《高台县2022年公平竞争审查总结》、《2022年度公平竞争审查工作情况统计表》和《政策措施抽查情况汇总表》，对公平竞争审查工作进行了全面的总结。</w:t>
      </w:r>
    </w:p>
    <w:p>
      <w:pPr>
        <w:keepNext w:val="0"/>
        <w:keepLines w:val="0"/>
        <w:pageBreakBefore w:val="0"/>
        <w:widowControl/>
        <w:suppressLineNumbers w:val="0"/>
        <w:kinsoku/>
        <w:wordWrap/>
        <w:overflowPunct/>
        <w:topLinePunct/>
        <w:autoSpaceDE/>
        <w:autoSpaceDN/>
        <w:bidi w:val="0"/>
        <w:snapToGrid/>
        <w:spacing w:beforeAutospacing="0" w:afterAutospacing="0" w:line="540" w:lineRule="exact"/>
        <w:ind w:left="0" w:leftChars="0" w:right="0" w:firstLine="640" w:firstLineChars="200"/>
        <w:jc w:val="both"/>
        <w:outlineLvl w:val="1"/>
        <w:rPr>
          <w:rFonts w:hint="eastAsia" w:ascii="楷体_GB2312" w:hAnsi="楷体_GB2312" w:eastAsia="楷体_GB2312" w:cs="楷体_GB2312"/>
          <w:b w:val="0"/>
          <w:bCs/>
          <w:color w:val="auto"/>
          <w:spacing w:val="0"/>
          <w:kern w:val="2"/>
          <w:position w:val="0"/>
          <w:sz w:val="32"/>
          <w:szCs w:val="32"/>
          <w:lang w:val="en-US" w:eastAsia="zh-CN" w:bidi="ar"/>
        </w:rPr>
      </w:pPr>
      <w:bookmarkStart w:id="3" w:name="_bookmark2"/>
      <w:bookmarkEnd w:id="3"/>
      <w:bookmarkStart w:id="4" w:name="_Toc3882"/>
      <w:r>
        <w:rPr>
          <w:rFonts w:hint="eastAsia" w:ascii="楷体_GB2312" w:hAnsi="楷体_GB2312" w:eastAsia="楷体_GB2312" w:cs="楷体_GB2312"/>
          <w:b w:val="0"/>
          <w:bCs/>
          <w:color w:val="auto"/>
          <w:spacing w:val="0"/>
          <w:kern w:val="2"/>
          <w:position w:val="0"/>
          <w:sz w:val="32"/>
          <w:szCs w:val="32"/>
          <w:lang w:val="en-US" w:eastAsia="zh-CN" w:bidi="ar"/>
        </w:rPr>
        <w:t>（三）工作部署落实情况</w:t>
      </w:r>
      <w:bookmarkEnd w:id="4"/>
    </w:p>
    <w:p>
      <w:pPr>
        <w:keepNext w:val="0"/>
        <w:keepLines w:val="0"/>
        <w:pageBreakBefore w:val="0"/>
        <w:widowControl/>
        <w:suppressLineNumbers w:val="0"/>
        <w:kinsoku/>
        <w:wordWrap/>
        <w:overflowPunct/>
        <w:topLinePunct/>
        <w:autoSpaceDE/>
        <w:autoSpaceDN/>
        <w:bidi w:val="0"/>
        <w:snapToGrid/>
        <w:spacing w:beforeAutospacing="0" w:afterAutospacing="0" w:line="540" w:lineRule="exact"/>
        <w:ind w:left="0" w:leftChars="0" w:right="0" w:firstLine="640" w:firstLineChars="200"/>
        <w:jc w:val="both"/>
        <w:rPr>
          <w:rFonts w:hint="eastAsia" w:ascii="仿宋_GB2312" w:hAnsi="仿宋_GB2312" w:eastAsia="仿宋_GB2312" w:cs="仿宋_GB2312"/>
          <w:b w:val="0"/>
          <w:bCs/>
          <w:color w:val="auto"/>
          <w:spacing w:val="0"/>
          <w:kern w:val="2"/>
          <w:position w:val="0"/>
          <w:sz w:val="32"/>
          <w:szCs w:val="32"/>
          <w:lang w:val="en-US" w:eastAsia="zh-CN" w:bidi="ar"/>
        </w:rPr>
      </w:pPr>
      <w:r>
        <w:rPr>
          <w:rFonts w:hint="eastAsia" w:ascii="仿宋_GB2312" w:hAnsi="仿宋_GB2312" w:eastAsia="仿宋_GB2312" w:cs="仿宋_GB2312"/>
          <w:b w:val="0"/>
          <w:bCs/>
          <w:color w:val="auto"/>
          <w:spacing w:val="0"/>
          <w:kern w:val="2"/>
          <w:position w:val="0"/>
          <w:sz w:val="32"/>
          <w:szCs w:val="32"/>
          <w:lang w:val="en-US" w:eastAsia="zh-CN" w:bidi="ar"/>
        </w:rPr>
        <w:t>为建立健全公平竞争审查工作机制，推动高台县公平竞争审查工作的贯彻落实，高台县提供了张掖市公平竞争审查制度实施情况，结合工作实际制定了《高台县公平竞争审查工作政策措施抽查制度（试行）》、《高台县重大政策措施公平竞争审查会审制度（试行）》、《高台县公平竞争审查投诉举报和处理回应制度（试行）》三项制度。为全面落实公平竞争审查制度，通过县政府网站公布投诉回应受理渠道和举报电话，在全县范围内组织开展专题宣传周活动，对社会公众进行公平竞争审查内容的宣传与普及，组织人员集中学习反垄断法等法律法规，进行公平竞争审查内容的学习与培训。</w:t>
      </w:r>
    </w:p>
    <w:p>
      <w:pPr>
        <w:keepNext w:val="0"/>
        <w:keepLines w:val="0"/>
        <w:pageBreakBefore w:val="0"/>
        <w:widowControl/>
        <w:suppressLineNumbers w:val="0"/>
        <w:kinsoku/>
        <w:wordWrap/>
        <w:overflowPunct/>
        <w:topLinePunct/>
        <w:autoSpaceDE/>
        <w:autoSpaceDN/>
        <w:bidi w:val="0"/>
        <w:snapToGrid/>
        <w:spacing w:beforeAutospacing="0" w:afterAutospacing="0" w:line="540" w:lineRule="exact"/>
        <w:ind w:left="0" w:leftChars="0" w:right="0" w:firstLine="640" w:firstLineChars="200"/>
        <w:jc w:val="both"/>
        <w:rPr>
          <w:rFonts w:hint="eastAsia" w:ascii="仿宋_GB2312" w:hAnsi="仿宋_GB2312" w:eastAsia="仿宋_GB2312" w:cs="仿宋_GB2312"/>
          <w:b w:val="0"/>
          <w:bCs/>
          <w:color w:val="auto"/>
          <w:spacing w:val="0"/>
          <w:kern w:val="2"/>
          <w:position w:val="0"/>
          <w:sz w:val="32"/>
          <w:szCs w:val="32"/>
          <w:lang w:val="en-US" w:eastAsia="zh-CN" w:bidi="ar"/>
        </w:rPr>
      </w:pPr>
      <w:r>
        <w:rPr>
          <w:rFonts w:hint="eastAsia" w:ascii="仿宋_GB2312" w:hAnsi="仿宋_GB2312" w:eastAsia="仿宋_GB2312" w:cs="仿宋_GB2312"/>
          <w:b w:val="0"/>
          <w:bCs/>
          <w:color w:val="auto"/>
          <w:spacing w:val="0"/>
          <w:kern w:val="2"/>
          <w:position w:val="0"/>
          <w:sz w:val="32"/>
          <w:szCs w:val="32"/>
          <w:lang w:val="en-US" w:eastAsia="zh-CN" w:bidi="ar"/>
        </w:rPr>
        <w:t>目前，高台县的公平竞争审查制度、审查流程和审查人员配置均已完善。</w:t>
      </w:r>
    </w:p>
    <w:p>
      <w:pPr>
        <w:keepNext w:val="0"/>
        <w:keepLines w:val="0"/>
        <w:pageBreakBefore w:val="0"/>
        <w:widowControl/>
        <w:suppressLineNumbers w:val="0"/>
        <w:kinsoku/>
        <w:wordWrap/>
        <w:overflowPunct/>
        <w:topLinePunct/>
        <w:autoSpaceDE/>
        <w:autoSpaceDN/>
        <w:bidi w:val="0"/>
        <w:snapToGrid/>
        <w:spacing w:before="157" w:beforeLines="50" w:beforeAutospacing="0" w:after="157" w:afterLines="50" w:afterAutospacing="0" w:line="540" w:lineRule="exact"/>
        <w:ind w:left="0" w:leftChars="0" w:right="0" w:rightChars="0" w:firstLine="640" w:firstLineChars="200"/>
        <w:jc w:val="both"/>
        <w:outlineLvl w:val="0"/>
        <w:rPr>
          <w:rFonts w:hint="eastAsia" w:ascii="黑体" w:hAnsi="黑体" w:eastAsia="黑体" w:cs="黑体"/>
          <w:b w:val="0"/>
          <w:bCs/>
          <w:color w:val="auto"/>
          <w:spacing w:val="0"/>
          <w:kern w:val="2"/>
          <w:position w:val="0"/>
          <w:sz w:val="32"/>
          <w:szCs w:val="32"/>
          <w:lang w:val="en-US" w:eastAsia="zh-CN" w:bidi="ar"/>
        </w:rPr>
      </w:pPr>
      <w:bookmarkStart w:id="5" w:name="_Toc16569"/>
      <w:r>
        <w:rPr>
          <w:rFonts w:hint="eastAsia" w:ascii="黑体" w:hAnsi="黑体" w:eastAsia="黑体" w:cs="黑体"/>
          <w:b w:val="0"/>
          <w:bCs/>
          <w:color w:val="auto"/>
          <w:spacing w:val="0"/>
          <w:kern w:val="2"/>
          <w:position w:val="0"/>
          <w:sz w:val="32"/>
          <w:szCs w:val="32"/>
          <w:lang w:val="en-US" w:eastAsia="zh-CN" w:bidi="ar"/>
        </w:rPr>
        <w:t>二、评估发现的问题</w:t>
      </w:r>
      <w:bookmarkEnd w:id="5"/>
    </w:p>
    <w:p>
      <w:pPr>
        <w:keepNext w:val="0"/>
        <w:keepLines w:val="0"/>
        <w:pageBreakBefore w:val="0"/>
        <w:widowControl/>
        <w:suppressLineNumbers w:val="0"/>
        <w:kinsoku/>
        <w:wordWrap/>
        <w:overflowPunct/>
        <w:topLinePunct/>
        <w:autoSpaceDE/>
        <w:autoSpaceDN/>
        <w:bidi w:val="0"/>
        <w:spacing w:beforeAutospacing="0" w:afterAutospacing="0" w:line="540" w:lineRule="exact"/>
        <w:ind w:left="0" w:leftChars="0" w:right="0" w:firstLine="640" w:firstLineChars="200"/>
        <w:jc w:val="both"/>
        <w:rPr>
          <w:rFonts w:hint="eastAsia" w:ascii="仿宋_GB2312" w:hAnsi="仿宋_GB2312" w:eastAsia="仿宋_GB2312" w:cs="仿宋_GB2312"/>
          <w:b w:val="0"/>
          <w:bCs/>
          <w:color w:val="auto"/>
          <w:spacing w:val="0"/>
          <w:w w:val="100"/>
          <w:kern w:val="2"/>
          <w:position w:val="0"/>
          <w:sz w:val="32"/>
          <w:szCs w:val="32"/>
          <w:lang w:val="en-US" w:eastAsia="zh-CN" w:bidi="ar"/>
        </w:rPr>
      </w:pPr>
      <w:r>
        <w:rPr>
          <w:rFonts w:hint="eastAsia" w:ascii="仿宋_GB2312" w:hAnsi="仿宋_GB2312" w:eastAsia="仿宋_GB2312" w:cs="仿宋_GB2312"/>
          <w:b w:val="0"/>
          <w:bCs/>
          <w:color w:val="auto"/>
          <w:spacing w:val="0"/>
          <w:w w:val="100"/>
          <w:kern w:val="2"/>
          <w:position w:val="0"/>
          <w:sz w:val="32"/>
          <w:szCs w:val="32"/>
          <w:lang w:val="en-US" w:eastAsia="zh-CN" w:bidi="ar"/>
        </w:rPr>
        <w:t>公平竞争审查工作涉及法学、经济学和其他专业学科的交叉，对工作人员的素质和能力要求较高，再加上经济活动的复杂性以及新经济、新业态的快速发展，要求在行政资源和专业人才方面给予切实保障。目前张掖市开展公平竞争审查工作机制虽已建立，但由于该项工作处于起步阶段，各成员单位还处在学习探索阶段。公平竞争工作的内部自我审查对各单位的法制工作者的业务素质、学习能力、法律素养提出了更高的要求，加上法制队伍人手相对不足,导致高台县公平竞争审查工作仍存在一定程度不足，部分政策措施违反公平竞争审查标准，具体如下：</w:t>
      </w:r>
    </w:p>
    <w:p>
      <w:pPr>
        <w:keepNext w:val="0"/>
        <w:keepLines w:val="0"/>
        <w:pageBreakBefore w:val="0"/>
        <w:widowControl/>
        <w:numPr>
          <w:ilvl w:val="0"/>
          <w:numId w:val="0"/>
        </w:numPr>
        <w:kinsoku/>
        <w:wordWrap/>
        <w:overflowPunct/>
        <w:topLinePunct/>
        <w:autoSpaceDE/>
        <w:autoSpaceDN/>
        <w:bidi w:val="0"/>
        <w:spacing w:line="540" w:lineRule="exact"/>
        <w:ind w:left="0" w:leftChars="0" w:right="0" w:rightChars="0" w:firstLine="600" w:firstLineChars="200"/>
        <w:jc w:val="both"/>
        <w:textAlignment w:val="baseline"/>
        <w:rPr>
          <w:rFonts w:hint="eastAsia" w:ascii="楷体_GB2312" w:hAnsi="楷体_GB2312" w:eastAsia="楷体_GB2312" w:cs="楷体_GB2312"/>
          <w:b w:val="0"/>
          <w:bCs/>
          <w:color w:val="auto"/>
          <w:spacing w:val="0"/>
          <w:w w:val="100"/>
          <w:kern w:val="2"/>
          <w:position w:val="0"/>
          <w:sz w:val="30"/>
          <w:szCs w:val="30"/>
          <w:highlight w:val="none"/>
          <w:lang w:val="en-US" w:eastAsia="zh-CN" w:bidi="ar"/>
        </w:rPr>
      </w:pPr>
      <w:r>
        <w:rPr>
          <w:rFonts w:hint="eastAsia" w:ascii="楷体_GB2312" w:hAnsi="楷体_GB2312" w:eastAsia="楷体_GB2312" w:cs="楷体_GB2312"/>
          <w:b w:val="0"/>
          <w:bCs/>
          <w:color w:val="auto"/>
          <w:spacing w:val="0"/>
          <w:w w:val="100"/>
          <w:position w:val="0"/>
          <w:sz w:val="30"/>
          <w:szCs w:val="30"/>
          <w:highlight w:val="none"/>
          <w:shd w:val="clear" w:color="auto" w:fill="FFFFFF"/>
          <w:lang w:eastAsia="zh-CN"/>
        </w:rPr>
        <w:t>（一）《高台县农业保险助推乡村振兴工作实施方案》（</w:t>
      </w:r>
      <w:r>
        <w:rPr>
          <w:rFonts w:hint="eastAsia" w:ascii="楷体_GB2312" w:hAnsi="楷体_GB2312" w:eastAsia="楷体_GB2312" w:cs="楷体_GB2312"/>
          <w:b w:val="0"/>
          <w:bCs/>
          <w:color w:val="auto"/>
          <w:spacing w:val="0"/>
          <w:w w:val="100"/>
          <w:position w:val="0"/>
          <w:sz w:val="30"/>
          <w:szCs w:val="30"/>
          <w:highlight w:val="none"/>
          <w:u w:color="000000"/>
        </w:rPr>
        <w:t>高政发〔2021〕</w:t>
      </w:r>
      <w:r>
        <w:rPr>
          <w:rFonts w:hint="eastAsia" w:ascii="楷体_GB2312" w:hAnsi="楷体_GB2312" w:eastAsia="楷体_GB2312" w:cs="楷体_GB2312"/>
          <w:b w:val="0"/>
          <w:bCs/>
          <w:color w:val="auto"/>
          <w:spacing w:val="0"/>
          <w:w w:val="100"/>
          <w:position w:val="0"/>
          <w:sz w:val="30"/>
          <w:szCs w:val="30"/>
          <w:highlight w:val="none"/>
          <w:u w:color="000000"/>
          <w:lang w:val="en-US" w:eastAsia="zh-CN"/>
        </w:rPr>
        <w:t>10</w:t>
      </w:r>
      <w:r>
        <w:rPr>
          <w:rFonts w:hint="eastAsia" w:ascii="楷体_GB2312" w:hAnsi="楷体_GB2312" w:eastAsia="楷体_GB2312" w:cs="楷体_GB2312"/>
          <w:b w:val="0"/>
          <w:bCs/>
          <w:color w:val="auto"/>
          <w:spacing w:val="0"/>
          <w:w w:val="100"/>
          <w:position w:val="0"/>
          <w:sz w:val="30"/>
          <w:szCs w:val="30"/>
          <w:highlight w:val="none"/>
          <w:u w:color="000000"/>
        </w:rPr>
        <w:t>号</w:t>
      </w:r>
      <w:r>
        <w:rPr>
          <w:rFonts w:hint="eastAsia" w:ascii="楷体_GB2312" w:hAnsi="楷体_GB2312" w:eastAsia="楷体_GB2312" w:cs="楷体_GB2312"/>
          <w:b w:val="0"/>
          <w:bCs/>
          <w:color w:val="auto"/>
          <w:spacing w:val="0"/>
          <w:w w:val="100"/>
          <w:kern w:val="2"/>
          <w:position w:val="0"/>
          <w:sz w:val="30"/>
          <w:szCs w:val="30"/>
          <w:highlight w:val="none"/>
          <w:lang w:val="en-US" w:eastAsia="zh-CN" w:bidi="ar"/>
        </w:rPr>
        <w:t>）</w:t>
      </w:r>
    </w:p>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00" w:firstLineChars="200"/>
        <w:jc w:val="both"/>
        <w:textAlignment w:val="baseline"/>
        <w:rPr>
          <w:rFonts w:hint="eastAsia" w:ascii="仿宋_GB2312" w:hAnsi="仿宋_GB2312" w:eastAsia="仿宋_GB2312" w:cs="仿宋_GB2312"/>
          <w:b w:val="0"/>
          <w:bCs/>
          <w:color w:val="auto"/>
          <w:spacing w:val="0"/>
          <w:w w:val="100"/>
          <w:kern w:val="0"/>
          <w:position w:val="0"/>
          <w:sz w:val="30"/>
          <w:szCs w:val="30"/>
          <w:highlight w:val="none"/>
          <w:vertAlign w:val="baseline"/>
        </w:rPr>
      </w:pPr>
      <w:r>
        <w:rPr>
          <w:rFonts w:hint="eastAsia" w:ascii="仿宋_GB2312" w:hAnsi="仿宋_GB2312" w:eastAsia="仿宋_GB2312" w:cs="仿宋_GB2312"/>
          <w:b w:val="0"/>
          <w:bCs/>
          <w:color w:val="auto"/>
          <w:spacing w:val="0"/>
          <w:w w:val="100"/>
          <w:kern w:val="0"/>
          <w:position w:val="0"/>
          <w:sz w:val="30"/>
          <w:szCs w:val="30"/>
          <w:highlight w:val="none"/>
          <w:vertAlign w:val="baseline"/>
          <w:lang w:val="en-US" w:eastAsia="zh-CN" w:bidi="ar"/>
        </w:rPr>
        <w:t>a.问题内容条款</w:t>
      </w:r>
    </w:p>
    <w:tbl>
      <w:tblPr>
        <w:tblStyle w:val="18"/>
        <w:tblW w:w="5000" w:type="pct"/>
        <w:tblInd w:w="0" w:type="dxa"/>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865"/>
      </w:tblGrid>
      <w:tr>
        <w:tblPrEx>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CellMar>
            <w:top w:w="0" w:type="dxa"/>
            <w:left w:w="0" w:type="dxa"/>
            <w:bottom w:w="0" w:type="dxa"/>
            <w:right w:w="0" w:type="dxa"/>
          </w:tblCellMar>
        </w:tblPrEx>
        <w:trPr>
          <w:trHeight w:val="636" w:hRule="atLeast"/>
        </w:trPr>
        <w:tc>
          <w:tcPr>
            <w:tcW w:w="5000" w:type="pct"/>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pageBreakBefore w:val="0"/>
              <w:widowControl/>
              <w:suppressLineNumbers w:val="0"/>
              <w:kinsoku/>
              <w:wordWrap/>
              <w:overflowPunct/>
              <w:topLinePunct/>
              <w:autoSpaceDE/>
              <w:autoSpaceDN/>
              <w:bidi w:val="0"/>
              <w:adjustRightInd/>
              <w:snapToGrid/>
              <w:spacing w:before="0" w:beforeAutospacing="0" w:after="0" w:afterAutospacing="0"/>
              <w:ind w:left="0" w:right="0" w:firstLine="560" w:firstLineChars="200"/>
              <w:textAlignment w:val="auto"/>
              <w:rPr>
                <w:rFonts w:hint="eastAsia" w:ascii="仿宋_GB2312" w:hAnsi="仿宋_GB2312" w:eastAsia="仿宋_GB2312" w:cs="仿宋_GB2312"/>
                <w:b w:val="0"/>
                <w:bCs/>
                <w:color w:val="auto"/>
                <w:spacing w:val="0"/>
                <w:w w:val="100"/>
                <w:position w:val="0"/>
                <w:sz w:val="28"/>
                <w:szCs w:val="28"/>
                <w:lang w:val="en-US" w:eastAsia="zh-CN"/>
              </w:rPr>
            </w:pPr>
            <w:r>
              <w:rPr>
                <w:rFonts w:hint="eastAsia" w:ascii="仿宋_GB2312" w:hAnsi="仿宋_GB2312" w:eastAsia="仿宋_GB2312" w:cs="仿宋_GB2312"/>
                <w:b w:val="0"/>
                <w:bCs/>
                <w:color w:val="auto"/>
                <w:spacing w:val="0"/>
                <w:w w:val="100"/>
                <w:position w:val="0"/>
                <w:sz w:val="28"/>
                <w:szCs w:val="28"/>
                <w:lang w:val="en-US" w:eastAsia="zh-CN"/>
              </w:rPr>
              <w:t>文件第4页</w:t>
            </w:r>
          </w:p>
          <w:p>
            <w:pPr>
              <w:keepNext w:val="0"/>
              <w:keepLines w:val="0"/>
              <w:pageBreakBefore w:val="0"/>
              <w:widowControl/>
              <w:suppressLineNumbers w:val="0"/>
              <w:kinsoku/>
              <w:wordWrap/>
              <w:overflowPunct/>
              <w:topLinePunct/>
              <w:autoSpaceDE/>
              <w:autoSpaceDN/>
              <w:bidi w:val="0"/>
              <w:adjustRightInd/>
              <w:snapToGrid/>
              <w:spacing w:before="0" w:beforeAutospacing="0" w:after="0" w:afterAutospacing="0"/>
              <w:ind w:left="0" w:right="0" w:firstLine="560" w:firstLineChars="200"/>
              <w:textAlignment w:val="auto"/>
              <w:rPr>
                <w:rFonts w:hint="eastAsia" w:ascii="仿宋_GB2312" w:hAnsi="仿宋_GB2312" w:eastAsia="仿宋_GB2312" w:cs="仿宋_GB2312"/>
                <w:b w:val="0"/>
                <w:bCs/>
                <w:color w:val="auto"/>
                <w:spacing w:val="0"/>
                <w:w w:val="100"/>
                <w:position w:val="0"/>
                <w:sz w:val="30"/>
                <w:szCs w:val="30"/>
                <w:highlight w:val="none"/>
                <w:lang w:eastAsia="zh-CN"/>
              </w:rPr>
            </w:pPr>
            <w:r>
              <w:rPr>
                <w:rFonts w:hint="eastAsia" w:ascii="仿宋_GB2312" w:hAnsi="仿宋_GB2312" w:eastAsia="仿宋_GB2312" w:cs="仿宋_GB2312"/>
                <w:b w:val="0"/>
                <w:bCs/>
                <w:color w:val="auto"/>
                <w:spacing w:val="0"/>
                <w:w w:val="100"/>
                <w:position w:val="0"/>
                <w:sz w:val="28"/>
                <w:szCs w:val="28"/>
                <w:lang w:val="en-US" w:eastAsia="zh-CN"/>
              </w:rPr>
              <w:t>（二）承办机构。</w:t>
            </w:r>
            <w:r>
              <w:rPr>
                <w:rFonts w:hint="eastAsia" w:ascii="仿宋_GB2312" w:hAnsi="仿宋_GB2312" w:eastAsia="仿宋_GB2312" w:cs="仿宋_GB2312"/>
                <w:b w:val="0"/>
                <w:bCs/>
                <w:color w:val="auto"/>
                <w:spacing w:val="0"/>
                <w:w w:val="100"/>
                <w:position w:val="0"/>
                <w:sz w:val="28"/>
                <w:szCs w:val="28"/>
                <w:u w:val="single"/>
                <w:lang w:val="en-US" w:eastAsia="zh-CN"/>
              </w:rPr>
              <w:t>中国人民财产保险股份有限公司高台支公司承办新坝镇、南华镇、合黎镇种养产业综合保险，中华联合财产保险股份有限公司高台县支公司承办巷道镇、骆驼城镇种养产业综合保险，中国人寿财产保险股份有限公司高台县支公司承办宣化镇、黑泉镇、罗城镇种养产业综合保险。</w:t>
            </w:r>
          </w:p>
        </w:tc>
      </w:tr>
    </w:tbl>
    <w:p>
      <w:pPr>
        <w:keepNext w:val="0"/>
        <w:keepLines w:val="0"/>
        <w:pageBreakBefore w:val="0"/>
        <w:widowControl/>
        <w:suppressLineNumbers w:val="0"/>
        <w:kinsoku/>
        <w:wordWrap/>
        <w:overflowPunct/>
        <w:topLinePunct/>
        <w:autoSpaceDE/>
        <w:autoSpaceDN/>
        <w:bidi w:val="0"/>
        <w:adjustRightInd/>
        <w:snapToGrid/>
        <w:spacing w:line="540" w:lineRule="exact"/>
        <w:ind w:left="0" w:leftChars="0" w:right="0" w:firstLine="640" w:firstLineChars="200"/>
        <w:jc w:val="both"/>
        <w:textAlignment w:val="auto"/>
        <w:outlineLvl w:val="9"/>
        <w:rPr>
          <w:rFonts w:hint="eastAsia" w:ascii="仿宋_GB2312" w:hAnsi="仿宋_GB2312" w:eastAsia="仿宋_GB2312" w:cs="仿宋_GB2312"/>
          <w:b w:val="0"/>
          <w:bCs/>
          <w:color w:val="auto"/>
          <w:spacing w:val="0"/>
          <w:w w:val="100"/>
          <w:position w:val="0"/>
          <w:sz w:val="32"/>
          <w:szCs w:val="32"/>
          <w:highlight w:val="none"/>
          <w:lang w:val="en-US" w:eastAsia="zh-CN"/>
        </w:rPr>
      </w:pPr>
      <w:r>
        <w:rPr>
          <w:rFonts w:hint="eastAsia" w:ascii="仿宋_GB2312" w:hAnsi="仿宋_GB2312" w:eastAsia="仿宋_GB2312" w:cs="仿宋_GB2312"/>
          <w:b w:val="0"/>
          <w:bCs/>
          <w:color w:val="auto"/>
          <w:spacing w:val="0"/>
          <w:w w:val="100"/>
          <w:position w:val="0"/>
          <w:sz w:val="32"/>
          <w:szCs w:val="32"/>
          <w:highlight w:val="none"/>
          <w:lang w:val="en-US" w:eastAsia="zh-CN"/>
        </w:rPr>
        <w:t>b.剖析论证</w:t>
      </w:r>
    </w:p>
    <w:p>
      <w:pPr>
        <w:keepNext w:val="0"/>
        <w:keepLines w:val="0"/>
        <w:pageBreakBefore w:val="0"/>
        <w:widowControl/>
        <w:suppressLineNumbers w:val="0"/>
        <w:kinsoku/>
        <w:wordWrap/>
        <w:overflowPunct/>
        <w:topLinePunct/>
        <w:autoSpaceDE/>
        <w:autoSpaceDN/>
        <w:bidi w:val="0"/>
        <w:adjustRightInd/>
        <w:snapToGrid/>
        <w:spacing w:line="540" w:lineRule="exact"/>
        <w:ind w:left="0" w:leftChars="0" w:right="0" w:firstLine="640" w:firstLineChars="200"/>
        <w:jc w:val="both"/>
        <w:textAlignment w:val="auto"/>
        <w:outlineLvl w:val="9"/>
        <w:rPr>
          <w:rFonts w:hint="eastAsia" w:ascii="仿宋_GB2312" w:hAnsi="仿宋_GB2312" w:eastAsia="仿宋_GB2312" w:cs="仿宋_GB2312"/>
          <w:b w:val="0"/>
          <w:bCs/>
          <w:color w:val="auto"/>
          <w:spacing w:val="0"/>
          <w:w w:val="100"/>
          <w:position w:val="0"/>
          <w:sz w:val="32"/>
          <w:szCs w:val="32"/>
          <w:highlight w:val="none"/>
          <w:lang w:val="en-US" w:eastAsia="zh-CN"/>
        </w:rPr>
      </w:pPr>
      <w:r>
        <w:rPr>
          <w:rFonts w:hint="eastAsia" w:ascii="仿宋_GB2312" w:hAnsi="仿宋_GB2312" w:eastAsia="仿宋_GB2312" w:cs="仿宋_GB2312"/>
          <w:b w:val="0"/>
          <w:bCs/>
          <w:color w:val="auto"/>
          <w:spacing w:val="0"/>
          <w:w w:val="100"/>
          <w:position w:val="0"/>
          <w:sz w:val="32"/>
          <w:szCs w:val="32"/>
          <w:highlight w:val="none"/>
          <w:lang w:val="en-US" w:eastAsia="zh-CN"/>
        </w:rPr>
        <w:t>文件内容违反《公平竞争审查制度实施细则》“第十六条影响生产经营行为标准（一）不得强制经营者从事《中华人民共和国反垄断法》禁止的垄断行为，主要指以行政命令、行政授权、行政指导等方式或者通过行业协会、商会，强制、组织或者引导经营者达成、垄断协议、滥用市场支配地位，以及实施具有或者可能具有排除、限制竞争效果的经营者集中等行为”的规定。</w:t>
      </w:r>
    </w:p>
    <w:p>
      <w:pPr>
        <w:keepNext w:val="0"/>
        <w:keepLines w:val="0"/>
        <w:pageBreakBefore w:val="0"/>
        <w:widowControl/>
        <w:numPr>
          <w:ilvl w:val="0"/>
          <w:numId w:val="0"/>
        </w:numPr>
        <w:kinsoku/>
        <w:wordWrap/>
        <w:overflowPunct/>
        <w:topLinePunct/>
        <w:autoSpaceDE/>
        <w:autoSpaceDN/>
        <w:bidi w:val="0"/>
        <w:spacing w:line="540" w:lineRule="exact"/>
        <w:ind w:left="0" w:leftChars="0" w:right="0" w:rightChars="0" w:firstLine="600" w:firstLineChars="200"/>
        <w:jc w:val="both"/>
        <w:textAlignment w:val="baseline"/>
        <w:rPr>
          <w:rFonts w:hint="eastAsia" w:ascii="楷体_GB2312" w:hAnsi="楷体_GB2312" w:eastAsia="楷体_GB2312" w:cs="楷体_GB2312"/>
          <w:b w:val="0"/>
          <w:bCs/>
          <w:color w:val="auto"/>
          <w:spacing w:val="0"/>
          <w:w w:val="100"/>
          <w:kern w:val="2"/>
          <w:position w:val="0"/>
          <w:sz w:val="30"/>
          <w:szCs w:val="30"/>
          <w:highlight w:val="none"/>
          <w:lang w:val="en-US" w:eastAsia="zh-CN" w:bidi="ar"/>
        </w:rPr>
      </w:pPr>
      <w:r>
        <w:rPr>
          <w:rFonts w:hint="eastAsia" w:ascii="楷体_GB2312" w:hAnsi="楷体_GB2312" w:eastAsia="楷体_GB2312" w:cs="楷体_GB2312"/>
          <w:b w:val="0"/>
          <w:bCs/>
          <w:color w:val="auto"/>
          <w:spacing w:val="0"/>
          <w:w w:val="100"/>
          <w:position w:val="0"/>
          <w:sz w:val="30"/>
          <w:szCs w:val="30"/>
          <w:highlight w:val="none"/>
          <w:shd w:val="clear" w:color="auto" w:fill="FFFFFF"/>
          <w:lang w:eastAsia="zh-CN"/>
        </w:rPr>
        <w:t>（二）《高台县县级储备粮管理办法》（</w:t>
      </w:r>
      <w:r>
        <w:rPr>
          <w:rFonts w:hint="eastAsia" w:ascii="楷体_GB2312" w:hAnsi="楷体_GB2312" w:eastAsia="楷体_GB2312" w:cs="楷体_GB2312"/>
          <w:b w:val="0"/>
          <w:bCs/>
          <w:color w:val="auto"/>
          <w:spacing w:val="0"/>
          <w:w w:val="100"/>
          <w:position w:val="0"/>
          <w:sz w:val="30"/>
          <w:szCs w:val="30"/>
          <w:highlight w:val="none"/>
          <w:u w:color="000000"/>
        </w:rPr>
        <w:t>高政发〔2021〕</w:t>
      </w:r>
      <w:r>
        <w:rPr>
          <w:rFonts w:hint="eastAsia" w:ascii="楷体_GB2312" w:hAnsi="楷体_GB2312" w:eastAsia="楷体_GB2312" w:cs="楷体_GB2312"/>
          <w:b w:val="0"/>
          <w:bCs/>
          <w:color w:val="auto"/>
          <w:spacing w:val="0"/>
          <w:w w:val="100"/>
          <w:position w:val="0"/>
          <w:sz w:val="30"/>
          <w:szCs w:val="30"/>
          <w:highlight w:val="none"/>
          <w:u w:color="000000"/>
          <w:lang w:val="en-US" w:eastAsia="zh-CN"/>
        </w:rPr>
        <w:t>18</w:t>
      </w:r>
      <w:r>
        <w:rPr>
          <w:rFonts w:hint="eastAsia" w:ascii="楷体_GB2312" w:hAnsi="楷体_GB2312" w:eastAsia="楷体_GB2312" w:cs="楷体_GB2312"/>
          <w:b w:val="0"/>
          <w:bCs/>
          <w:color w:val="auto"/>
          <w:spacing w:val="0"/>
          <w:w w:val="100"/>
          <w:position w:val="0"/>
          <w:sz w:val="30"/>
          <w:szCs w:val="30"/>
          <w:highlight w:val="none"/>
          <w:u w:color="000000"/>
        </w:rPr>
        <w:t>号</w:t>
      </w:r>
      <w:r>
        <w:rPr>
          <w:rFonts w:hint="eastAsia" w:ascii="楷体_GB2312" w:hAnsi="楷体_GB2312" w:eastAsia="楷体_GB2312" w:cs="楷体_GB2312"/>
          <w:b w:val="0"/>
          <w:bCs/>
          <w:color w:val="auto"/>
          <w:spacing w:val="0"/>
          <w:w w:val="100"/>
          <w:kern w:val="2"/>
          <w:position w:val="0"/>
          <w:sz w:val="30"/>
          <w:szCs w:val="30"/>
          <w:highlight w:val="none"/>
          <w:lang w:val="en-US" w:eastAsia="zh-CN" w:bidi="ar"/>
        </w:rPr>
        <w:t>）</w:t>
      </w:r>
    </w:p>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00" w:firstLineChars="200"/>
        <w:jc w:val="both"/>
        <w:textAlignment w:val="baseline"/>
        <w:rPr>
          <w:rFonts w:hint="eastAsia" w:ascii="仿宋_GB2312" w:hAnsi="仿宋_GB2312" w:eastAsia="仿宋_GB2312" w:cs="仿宋_GB2312"/>
          <w:b w:val="0"/>
          <w:bCs/>
          <w:color w:val="auto"/>
          <w:spacing w:val="0"/>
          <w:w w:val="100"/>
          <w:kern w:val="0"/>
          <w:position w:val="0"/>
          <w:sz w:val="30"/>
          <w:szCs w:val="30"/>
          <w:highlight w:val="none"/>
          <w:vertAlign w:val="baseline"/>
        </w:rPr>
      </w:pPr>
      <w:r>
        <w:rPr>
          <w:rFonts w:hint="eastAsia" w:ascii="仿宋_GB2312" w:hAnsi="仿宋_GB2312" w:eastAsia="仿宋_GB2312" w:cs="仿宋_GB2312"/>
          <w:b w:val="0"/>
          <w:bCs/>
          <w:color w:val="auto"/>
          <w:spacing w:val="0"/>
          <w:w w:val="100"/>
          <w:kern w:val="0"/>
          <w:position w:val="0"/>
          <w:sz w:val="30"/>
          <w:szCs w:val="30"/>
          <w:highlight w:val="none"/>
          <w:vertAlign w:val="baseline"/>
          <w:lang w:val="en-US" w:eastAsia="zh-CN" w:bidi="ar"/>
        </w:rPr>
        <w:t>a.问题内容条款</w:t>
      </w:r>
    </w:p>
    <w:tbl>
      <w:tblPr>
        <w:tblStyle w:val="18"/>
        <w:tblW w:w="5000" w:type="pct"/>
        <w:tblInd w:w="0" w:type="dxa"/>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865"/>
      </w:tblGrid>
      <w:tr>
        <w:tblPrEx>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CellMar>
            <w:top w:w="0" w:type="dxa"/>
            <w:left w:w="0" w:type="dxa"/>
            <w:bottom w:w="0" w:type="dxa"/>
            <w:right w:w="0" w:type="dxa"/>
          </w:tblCellMar>
        </w:tblPrEx>
        <w:trPr>
          <w:trHeight w:val="636" w:hRule="atLeast"/>
        </w:trPr>
        <w:tc>
          <w:tcPr>
            <w:tcW w:w="5000" w:type="pct"/>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pageBreakBefore w:val="0"/>
              <w:widowControl/>
              <w:suppressLineNumbers w:val="0"/>
              <w:kinsoku/>
              <w:wordWrap/>
              <w:overflowPunct/>
              <w:topLinePunct/>
              <w:autoSpaceDE/>
              <w:autoSpaceDN/>
              <w:bidi w:val="0"/>
              <w:adjustRightInd/>
              <w:snapToGrid/>
              <w:spacing w:before="0" w:beforeAutospacing="0" w:after="0" w:afterAutospacing="0"/>
              <w:ind w:left="0" w:right="0" w:firstLine="560" w:firstLineChars="200"/>
              <w:textAlignment w:val="auto"/>
              <w:rPr>
                <w:rFonts w:hint="eastAsia" w:ascii="仿宋_GB2312" w:hAnsi="仿宋_GB2312" w:eastAsia="仿宋_GB2312" w:cs="仿宋_GB2312"/>
                <w:b w:val="0"/>
                <w:bCs/>
                <w:color w:val="auto"/>
                <w:spacing w:val="0"/>
                <w:w w:val="100"/>
                <w:position w:val="0"/>
                <w:sz w:val="28"/>
                <w:szCs w:val="28"/>
                <w:lang w:val="en-US" w:eastAsia="zh-CN"/>
              </w:rPr>
            </w:pPr>
            <w:r>
              <w:rPr>
                <w:rFonts w:hint="eastAsia" w:ascii="仿宋_GB2312" w:hAnsi="仿宋_GB2312" w:eastAsia="仿宋_GB2312" w:cs="仿宋_GB2312"/>
                <w:b w:val="0"/>
                <w:bCs/>
                <w:color w:val="auto"/>
                <w:spacing w:val="0"/>
                <w:w w:val="100"/>
                <w:position w:val="0"/>
                <w:sz w:val="28"/>
                <w:szCs w:val="28"/>
                <w:lang w:val="en-US" w:eastAsia="zh-CN"/>
              </w:rPr>
              <w:t>文件第4页</w:t>
            </w:r>
          </w:p>
          <w:p>
            <w:pPr>
              <w:keepNext w:val="0"/>
              <w:keepLines w:val="0"/>
              <w:pageBreakBefore w:val="0"/>
              <w:widowControl/>
              <w:suppressLineNumbers w:val="0"/>
              <w:kinsoku/>
              <w:wordWrap/>
              <w:overflowPunct/>
              <w:topLinePunct/>
              <w:autoSpaceDE/>
              <w:autoSpaceDN/>
              <w:bidi w:val="0"/>
              <w:adjustRightInd/>
              <w:snapToGrid/>
              <w:spacing w:before="0" w:beforeAutospacing="0" w:after="0" w:afterAutospacing="0"/>
              <w:ind w:left="0" w:right="0" w:firstLine="560" w:firstLineChars="200"/>
              <w:textAlignment w:val="auto"/>
              <w:rPr>
                <w:rFonts w:hint="eastAsia" w:ascii="仿宋_GB2312" w:hAnsi="仿宋_GB2312" w:eastAsia="仿宋_GB2312" w:cs="仿宋_GB2312"/>
                <w:b w:val="0"/>
                <w:bCs/>
                <w:color w:val="auto"/>
                <w:spacing w:val="0"/>
                <w:w w:val="100"/>
                <w:position w:val="0"/>
                <w:sz w:val="30"/>
                <w:szCs w:val="30"/>
                <w:highlight w:val="none"/>
                <w:lang w:eastAsia="zh-CN"/>
              </w:rPr>
            </w:pPr>
            <w:r>
              <w:rPr>
                <w:rFonts w:hint="eastAsia" w:ascii="仿宋_GB2312" w:hAnsi="仿宋_GB2312" w:eastAsia="仿宋_GB2312" w:cs="仿宋_GB2312"/>
                <w:b w:val="0"/>
                <w:bCs/>
                <w:color w:val="auto"/>
                <w:spacing w:val="0"/>
                <w:w w:val="100"/>
                <w:position w:val="0"/>
                <w:sz w:val="28"/>
                <w:szCs w:val="28"/>
                <w:lang w:val="en-US" w:eastAsia="zh-CN"/>
              </w:rPr>
              <w:t>第十七条县级储备粮由承担政策性粮油储备职能的</w:t>
            </w:r>
            <w:r>
              <w:rPr>
                <w:rFonts w:hint="eastAsia" w:ascii="仿宋_GB2312" w:hAnsi="仿宋_GB2312" w:eastAsia="仿宋_GB2312" w:cs="仿宋_GB2312"/>
                <w:b w:val="0"/>
                <w:bCs/>
                <w:color w:val="auto"/>
                <w:spacing w:val="0"/>
                <w:w w:val="100"/>
                <w:position w:val="0"/>
                <w:sz w:val="28"/>
                <w:szCs w:val="28"/>
                <w:u w:val="single"/>
                <w:lang w:val="en-US" w:eastAsia="zh-CN"/>
              </w:rPr>
              <w:t>直属国有企业</w:t>
            </w:r>
            <w:r>
              <w:rPr>
                <w:rFonts w:hint="eastAsia" w:ascii="仿宋_GB2312" w:hAnsi="仿宋_GB2312" w:eastAsia="仿宋_GB2312" w:cs="仿宋_GB2312"/>
                <w:b w:val="0"/>
                <w:bCs/>
                <w:color w:val="auto"/>
                <w:spacing w:val="0"/>
                <w:w w:val="100"/>
                <w:position w:val="0"/>
                <w:sz w:val="28"/>
                <w:szCs w:val="28"/>
                <w:lang w:val="en-US" w:eastAsia="zh-CN"/>
              </w:rPr>
              <w:t>存储，原则上不允许租仓存放。</w:t>
            </w:r>
          </w:p>
        </w:tc>
      </w:tr>
    </w:tbl>
    <w:p>
      <w:pPr>
        <w:keepNext w:val="0"/>
        <w:keepLines w:val="0"/>
        <w:pageBreakBefore w:val="0"/>
        <w:widowControl/>
        <w:suppressLineNumbers w:val="0"/>
        <w:kinsoku/>
        <w:wordWrap/>
        <w:overflowPunct/>
        <w:topLinePunct/>
        <w:autoSpaceDE/>
        <w:autoSpaceDN/>
        <w:bidi w:val="0"/>
        <w:spacing w:beforeAutospacing="0" w:afterAutospacing="0" w:line="540" w:lineRule="exact"/>
        <w:ind w:left="0" w:leftChars="0" w:right="0" w:firstLine="640" w:firstLineChars="200"/>
        <w:jc w:val="both"/>
        <w:rPr>
          <w:rFonts w:hint="eastAsia" w:ascii="仿宋_GB2312" w:hAnsi="仿宋_GB2312" w:eastAsia="仿宋_GB2312" w:cs="仿宋_GB2312"/>
          <w:b w:val="0"/>
          <w:bCs/>
          <w:color w:val="auto"/>
          <w:spacing w:val="0"/>
          <w:w w:val="100"/>
          <w:kern w:val="2"/>
          <w:position w:val="0"/>
          <w:sz w:val="32"/>
          <w:szCs w:val="32"/>
          <w:lang w:val="en-US" w:eastAsia="zh-CN" w:bidi="ar"/>
        </w:rPr>
      </w:pPr>
      <w:r>
        <w:rPr>
          <w:rFonts w:hint="eastAsia" w:ascii="仿宋_GB2312" w:hAnsi="仿宋_GB2312" w:eastAsia="仿宋_GB2312" w:cs="仿宋_GB2312"/>
          <w:b w:val="0"/>
          <w:bCs/>
          <w:color w:val="auto"/>
          <w:spacing w:val="0"/>
          <w:w w:val="100"/>
          <w:kern w:val="2"/>
          <w:position w:val="0"/>
          <w:sz w:val="32"/>
          <w:szCs w:val="32"/>
          <w:lang w:val="en-US" w:eastAsia="zh-CN" w:bidi="ar"/>
        </w:rPr>
        <w:t>b.剖析论证</w:t>
      </w:r>
    </w:p>
    <w:p>
      <w:pPr>
        <w:keepNext w:val="0"/>
        <w:keepLines w:val="0"/>
        <w:pageBreakBefore w:val="0"/>
        <w:widowControl/>
        <w:suppressLineNumbers w:val="0"/>
        <w:kinsoku/>
        <w:wordWrap/>
        <w:overflowPunct/>
        <w:topLinePunct/>
        <w:autoSpaceDE/>
        <w:autoSpaceDN/>
        <w:bidi w:val="0"/>
        <w:spacing w:beforeAutospacing="0" w:afterAutospacing="0" w:line="540" w:lineRule="exact"/>
        <w:ind w:left="0" w:leftChars="0" w:right="0" w:firstLine="640" w:firstLineChars="200"/>
        <w:jc w:val="both"/>
        <w:rPr>
          <w:rFonts w:hint="eastAsia" w:ascii="仿宋_GB2312" w:hAnsi="仿宋_GB2312" w:eastAsia="仿宋_GB2312" w:cs="仿宋_GB2312"/>
          <w:b w:val="0"/>
          <w:bCs/>
          <w:color w:val="auto"/>
          <w:spacing w:val="0"/>
          <w:w w:val="100"/>
          <w:kern w:val="2"/>
          <w:position w:val="0"/>
          <w:sz w:val="32"/>
          <w:szCs w:val="32"/>
          <w:lang w:val="en-US" w:eastAsia="zh-CN" w:bidi="ar"/>
        </w:rPr>
      </w:pPr>
      <w:r>
        <w:rPr>
          <w:rFonts w:hint="eastAsia" w:ascii="仿宋_GB2312" w:hAnsi="仿宋_GB2312" w:eastAsia="仿宋_GB2312" w:cs="仿宋_GB2312"/>
          <w:b w:val="0"/>
          <w:bCs/>
          <w:color w:val="auto"/>
          <w:spacing w:val="0"/>
          <w:w w:val="100"/>
          <w:kern w:val="2"/>
          <w:position w:val="0"/>
          <w:sz w:val="32"/>
          <w:szCs w:val="32"/>
          <w:lang w:val="en-US" w:eastAsia="zh-CN" w:bidi="ar"/>
        </w:rPr>
        <w:t>文件内容违反《公平竞争审查制度实施细则》“第十三条市场准入和退出标准（一）不得设置不合理或歧视性的准入和退出条件，包括但不限于：2.没有法律、行政法规或者国务院规定依据，对不同所有制、地区、组织形式的经营者实施不合理的差别化待遇，设置不平等的市场准入和退出条件”的规定。</w:t>
      </w:r>
    </w:p>
    <w:p>
      <w:pPr>
        <w:keepNext w:val="0"/>
        <w:keepLines w:val="0"/>
        <w:pageBreakBefore w:val="0"/>
        <w:widowControl/>
        <w:numPr>
          <w:ilvl w:val="0"/>
          <w:numId w:val="0"/>
        </w:numPr>
        <w:kinsoku/>
        <w:wordWrap/>
        <w:overflowPunct/>
        <w:topLinePunct/>
        <w:autoSpaceDE/>
        <w:autoSpaceDN/>
        <w:bidi w:val="0"/>
        <w:spacing w:line="540" w:lineRule="exact"/>
        <w:ind w:left="0" w:leftChars="0" w:right="0" w:rightChars="0" w:firstLine="600" w:firstLineChars="200"/>
        <w:jc w:val="both"/>
        <w:textAlignment w:val="baseline"/>
        <w:rPr>
          <w:rFonts w:hint="eastAsia" w:ascii="楷体_GB2312" w:hAnsi="楷体_GB2312" w:eastAsia="楷体_GB2312" w:cs="楷体_GB2312"/>
          <w:b w:val="0"/>
          <w:bCs/>
          <w:color w:val="auto"/>
          <w:spacing w:val="0"/>
          <w:w w:val="100"/>
          <w:kern w:val="2"/>
          <w:position w:val="0"/>
          <w:sz w:val="30"/>
          <w:szCs w:val="30"/>
          <w:highlight w:val="none"/>
        </w:rPr>
      </w:pPr>
      <w:r>
        <w:rPr>
          <w:rFonts w:hint="eastAsia" w:ascii="楷体_GB2312" w:hAnsi="楷体_GB2312" w:eastAsia="楷体_GB2312" w:cs="楷体_GB2312"/>
          <w:b w:val="0"/>
          <w:bCs/>
          <w:color w:val="auto"/>
          <w:spacing w:val="0"/>
          <w:w w:val="100"/>
          <w:position w:val="0"/>
          <w:sz w:val="30"/>
          <w:szCs w:val="30"/>
          <w:lang w:eastAsia="zh-CN"/>
        </w:rPr>
        <w:t>（三）</w:t>
      </w:r>
      <w:r>
        <w:rPr>
          <w:rFonts w:hint="eastAsia" w:ascii="楷体_GB2312" w:hAnsi="楷体_GB2312" w:eastAsia="楷体_GB2312" w:cs="楷体_GB2312"/>
          <w:b w:val="0"/>
          <w:bCs/>
          <w:color w:val="auto"/>
          <w:spacing w:val="0"/>
          <w:w w:val="100"/>
          <w:position w:val="0"/>
          <w:sz w:val="30"/>
          <w:szCs w:val="30"/>
          <w:highlight w:val="none"/>
          <w:shd w:val="clear" w:color="auto" w:fill="FFFFFF"/>
        </w:rPr>
        <w:t>《高台县乡村振兴产业兴旺发展规划</w:t>
      </w:r>
      <w:r>
        <w:rPr>
          <w:rFonts w:hint="eastAsia" w:ascii="楷体_GB2312" w:hAnsi="楷体_GB2312" w:eastAsia="楷体_GB2312" w:cs="楷体_GB2312"/>
          <w:b w:val="0"/>
          <w:bCs/>
          <w:color w:val="auto"/>
          <w:spacing w:val="0"/>
          <w:w w:val="100"/>
          <w:position w:val="0"/>
          <w:sz w:val="30"/>
          <w:szCs w:val="30"/>
          <w:highlight w:val="none"/>
          <w:shd w:val="clear" w:color="auto" w:fill="FFFFFF"/>
          <w:lang w:eastAsia="zh-CN"/>
        </w:rPr>
        <w:t>（</w:t>
      </w:r>
      <w:r>
        <w:rPr>
          <w:rFonts w:hint="eastAsia" w:ascii="楷体_GB2312" w:hAnsi="楷体_GB2312" w:eastAsia="楷体_GB2312" w:cs="楷体_GB2312"/>
          <w:b w:val="0"/>
          <w:bCs/>
          <w:color w:val="auto"/>
          <w:spacing w:val="0"/>
          <w:w w:val="100"/>
          <w:position w:val="0"/>
          <w:sz w:val="30"/>
          <w:szCs w:val="30"/>
          <w:highlight w:val="none"/>
          <w:shd w:val="clear" w:color="auto" w:fill="FFFFFF"/>
        </w:rPr>
        <w:t>2021—2025年）》</w:t>
      </w:r>
      <w:r>
        <w:rPr>
          <w:rFonts w:hint="eastAsia" w:ascii="楷体_GB2312" w:hAnsi="楷体_GB2312" w:eastAsia="楷体_GB2312" w:cs="楷体_GB2312"/>
          <w:b w:val="0"/>
          <w:bCs/>
          <w:color w:val="auto"/>
          <w:spacing w:val="0"/>
          <w:w w:val="100"/>
          <w:position w:val="0"/>
          <w:sz w:val="30"/>
          <w:szCs w:val="30"/>
          <w:highlight w:val="none"/>
          <w:shd w:val="clear" w:color="auto" w:fill="FFFFFF"/>
          <w:lang w:eastAsia="zh-CN"/>
        </w:rPr>
        <w:t>（</w:t>
      </w:r>
      <w:r>
        <w:rPr>
          <w:rFonts w:hint="eastAsia" w:ascii="楷体_GB2312" w:hAnsi="楷体_GB2312" w:eastAsia="楷体_GB2312" w:cs="楷体_GB2312"/>
          <w:b w:val="0"/>
          <w:bCs/>
          <w:color w:val="auto"/>
          <w:spacing w:val="0"/>
          <w:w w:val="100"/>
          <w:position w:val="0"/>
          <w:sz w:val="30"/>
          <w:szCs w:val="30"/>
          <w:highlight w:val="none"/>
          <w:u w:color="000000"/>
        </w:rPr>
        <w:t>高政发〔2021〕25号</w:t>
      </w:r>
      <w:r>
        <w:rPr>
          <w:rFonts w:hint="eastAsia" w:ascii="楷体_GB2312" w:hAnsi="楷体_GB2312" w:eastAsia="楷体_GB2312" w:cs="楷体_GB2312"/>
          <w:b w:val="0"/>
          <w:bCs/>
          <w:color w:val="auto"/>
          <w:spacing w:val="0"/>
          <w:w w:val="100"/>
          <w:kern w:val="2"/>
          <w:position w:val="0"/>
          <w:sz w:val="30"/>
          <w:szCs w:val="30"/>
          <w:highlight w:val="none"/>
          <w:lang w:val="en-US" w:eastAsia="zh-CN" w:bidi="ar"/>
        </w:rPr>
        <w:t>）</w:t>
      </w:r>
    </w:p>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00" w:firstLineChars="200"/>
        <w:jc w:val="both"/>
        <w:textAlignment w:val="baseline"/>
        <w:rPr>
          <w:rFonts w:hint="eastAsia" w:ascii="仿宋_GB2312" w:hAnsi="仿宋_GB2312" w:eastAsia="仿宋_GB2312" w:cs="仿宋_GB2312"/>
          <w:b w:val="0"/>
          <w:bCs/>
          <w:color w:val="auto"/>
          <w:spacing w:val="0"/>
          <w:w w:val="100"/>
          <w:kern w:val="0"/>
          <w:position w:val="0"/>
          <w:sz w:val="30"/>
          <w:szCs w:val="30"/>
          <w:highlight w:val="none"/>
          <w:vertAlign w:val="baseline"/>
        </w:rPr>
      </w:pPr>
      <w:r>
        <w:rPr>
          <w:rFonts w:hint="eastAsia" w:ascii="仿宋_GB2312" w:hAnsi="仿宋_GB2312" w:eastAsia="仿宋_GB2312" w:cs="仿宋_GB2312"/>
          <w:b w:val="0"/>
          <w:bCs/>
          <w:color w:val="auto"/>
          <w:spacing w:val="0"/>
          <w:w w:val="100"/>
          <w:kern w:val="0"/>
          <w:position w:val="0"/>
          <w:sz w:val="30"/>
          <w:szCs w:val="30"/>
          <w:highlight w:val="none"/>
          <w:vertAlign w:val="baseline"/>
          <w:lang w:val="en-US" w:eastAsia="zh-CN" w:bidi="ar"/>
        </w:rPr>
        <w:t>a.问题内容条款</w:t>
      </w:r>
    </w:p>
    <w:tbl>
      <w:tblPr>
        <w:tblStyle w:val="18"/>
        <w:tblW w:w="5000" w:type="pct"/>
        <w:tblInd w:w="0" w:type="dxa"/>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865"/>
      </w:tblGrid>
      <w:tr>
        <w:tblPrEx>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CellMar>
            <w:top w:w="0" w:type="dxa"/>
            <w:left w:w="0" w:type="dxa"/>
            <w:bottom w:w="0" w:type="dxa"/>
            <w:right w:w="0" w:type="dxa"/>
          </w:tblCellMar>
        </w:tblPrEx>
        <w:trPr>
          <w:trHeight w:val="636" w:hRule="atLeast"/>
        </w:trPr>
        <w:tc>
          <w:tcPr>
            <w:tcW w:w="5000" w:type="pct"/>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pageBreakBefore w:val="0"/>
              <w:widowControl/>
              <w:suppressLineNumbers w:val="0"/>
              <w:kinsoku/>
              <w:wordWrap/>
              <w:overflowPunct/>
              <w:topLinePunct/>
              <w:autoSpaceDE/>
              <w:autoSpaceDN/>
              <w:bidi w:val="0"/>
              <w:adjustRightInd w:val="0"/>
              <w:snapToGrid w:val="0"/>
              <w:spacing w:before="0" w:beforeAutospacing="0" w:after="0" w:afterAutospacing="0" w:line="540" w:lineRule="exact"/>
              <w:ind w:left="0" w:leftChars="0" w:right="0" w:firstLine="560" w:firstLineChars="200"/>
              <w:jc w:val="both"/>
              <w:textAlignment w:val="baseline"/>
              <w:rPr>
                <w:rFonts w:hint="eastAsia" w:ascii="仿宋_GB2312" w:hAnsi="仿宋_GB2312" w:eastAsia="仿宋_GB2312" w:cs="仿宋_GB2312"/>
                <w:b w:val="0"/>
                <w:bCs/>
                <w:color w:val="auto"/>
                <w:spacing w:val="0"/>
                <w:w w:val="100"/>
                <w:kern w:val="0"/>
                <w:position w:val="0"/>
                <w:sz w:val="28"/>
                <w:szCs w:val="28"/>
                <w:highlight w:val="none"/>
                <w:vertAlign w:val="baseline"/>
                <w:lang w:val="en-US" w:eastAsia="zh-CN" w:bidi="ar"/>
              </w:rPr>
            </w:pPr>
            <w:r>
              <w:rPr>
                <w:rFonts w:hint="eastAsia" w:ascii="仿宋_GB2312" w:hAnsi="仿宋_GB2312" w:eastAsia="仿宋_GB2312" w:cs="仿宋_GB2312"/>
                <w:b w:val="0"/>
                <w:bCs/>
                <w:color w:val="auto"/>
                <w:spacing w:val="0"/>
                <w:w w:val="100"/>
                <w:kern w:val="0"/>
                <w:position w:val="0"/>
                <w:sz w:val="28"/>
                <w:szCs w:val="28"/>
                <w:highlight w:val="none"/>
                <w:vertAlign w:val="baseline"/>
                <w:lang w:val="en-US" w:eastAsia="zh-CN" w:bidi="ar"/>
              </w:rPr>
              <w:t>文件第21-22页</w:t>
            </w:r>
          </w:p>
          <w:p>
            <w:pPr>
              <w:keepNext w:val="0"/>
              <w:keepLines w:val="0"/>
              <w:pageBreakBefore w:val="0"/>
              <w:widowControl/>
              <w:suppressLineNumbers w:val="0"/>
              <w:kinsoku/>
              <w:wordWrap/>
              <w:overflowPunct/>
              <w:topLinePunct/>
              <w:autoSpaceDE/>
              <w:autoSpaceDN/>
              <w:bidi w:val="0"/>
              <w:spacing w:before="0" w:beforeAutospacing="0" w:after="0" w:afterAutospacing="0" w:line="540" w:lineRule="exact"/>
              <w:ind w:left="0" w:leftChars="0" w:right="0" w:firstLine="560" w:firstLineChars="200"/>
              <w:jc w:val="both"/>
              <w:outlineLvl w:val="1"/>
              <w:rPr>
                <w:rFonts w:hint="eastAsia" w:ascii="仿宋_GB2312" w:hAnsi="仿宋_GB2312" w:eastAsia="仿宋_GB2312" w:cs="仿宋_GB2312"/>
                <w:b w:val="0"/>
                <w:bCs/>
                <w:color w:val="auto"/>
                <w:spacing w:val="0"/>
                <w:w w:val="100"/>
                <w:position w:val="0"/>
                <w:sz w:val="28"/>
                <w:szCs w:val="28"/>
                <w:highlight w:val="none"/>
              </w:rPr>
            </w:pPr>
            <w:bookmarkStart w:id="6" w:name="_Toc71230988"/>
            <w:bookmarkStart w:id="7" w:name="_Toc17067"/>
            <w:r>
              <w:rPr>
                <w:rFonts w:hint="eastAsia" w:ascii="仿宋_GB2312" w:hAnsi="仿宋_GB2312" w:eastAsia="仿宋_GB2312" w:cs="仿宋_GB2312"/>
                <w:b w:val="0"/>
                <w:bCs/>
                <w:color w:val="auto"/>
                <w:spacing w:val="0"/>
                <w:w w:val="100"/>
                <w:position w:val="0"/>
                <w:sz w:val="28"/>
                <w:szCs w:val="28"/>
                <w:highlight w:val="none"/>
              </w:rPr>
              <w:t>一、优化区域布局</w:t>
            </w:r>
            <w:bookmarkEnd w:id="6"/>
            <w:bookmarkEnd w:id="7"/>
          </w:p>
          <w:p>
            <w:pPr>
              <w:keepNext w:val="0"/>
              <w:keepLines w:val="0"/>
              <w:pageBreakBefore w:val="0"/>
              <w:widowControl/>
              <w:suppressLineNumbers w:val="0"/>
              <w:kinsoku/>
              <w:wordWrap/>
              <w:overflowPunct/>
              <w:topLinePunct/>
              <w:autoSpaceDE/>
              <w:autoSpaceDN/>
              <w:bidi w:val="0"/>
              <w:spacing w:before="0" w:beforeAutospacing="0" w:after="0" w:afterAutospacing="0" w:line="540" w:lineRule="exact"/>
              <w:ind w:left="0" w:leftChars="0" w:right="0" w:firstLine="560" w:firstLineChars="200"/>
              <w:jc w:val="both"/>
              <w:rPr>
                <w:rFonts w:hint="eastAsia" w:ascii="仿宋_GB2312" w:hAnsi="仿宋_GB2312" w:eastAsia="仿宋_GB2312" w:cs="仿宋_GB2312"/>
                <w:b w:val="0"/>
                <w:bCs/>
                <w:color w:val="auto"/>
                <w:spacing w:val="0"/>
                <w:w w:val="100"/>
                <w:position w:val="0"/>
                <w:sz w:val="28"/>
                <w:szCs w:val="28"/>
                <w:highlight w:val="none"/>
              </w:rPr>
            </w:pPr>
            <w:r>
              <w:rPr>
                <w:rFonts w:hint="eastAsia" w:ascii="仿宋_GB2312" w:hAnsi="仿宋_GB2312" w:eastAsia="仿宋_GB2312" w:cs="仿宋_GB2312"/>
                <w:b w:val="0"/>
                <w:bCs/>
                <w:color w:val="auto"/>
                <w:spacing w:val="0"/>
                <w:w w:val="100"/>
                <w:position w:val="0"/>
                <w:sz w:val="28"/>
                <w:szCs w:val="28"/>
                <w:highlight w:val="none"/>
              </w:rPr>
              <w:t>“两翼”带动：沿祁连山和国道312线的“西南翼”，</w:t>
            </w:r>
            <w:r>
              <w:rPr>
                <w:rFonts w:hint="eastAsia" w:ascii="仿宋_GB2312" w:hAnsi="仿宋_GB2312" w:eastAsia="仿宋_GB2312" w:cs="仿宋_GB2312"/>
                <w:b w:val="0"/>
                <w:bCs/>
                <w:color w:val="auto"/>
                <w:spacing w:val="0"/>
                <w:w w:val="100"/>
                <w:position w:val="0"/>
                <w:sz w:val="28"/>
                <w:szCs w:val="28"/>
                <w:highlight w:val="none"/>
                <w:u w:val="single"/>
              </w:rPr>
              <w:t>依托茂雄集团、特石生态、金康脱水等龙头企业</w:t>
            </w:r>
            <w:r>
              <w:rPr>
                <w:rFonts w:hint="eastAsia" w:ascii="仿宋_GB2312" w:hAnsi="仿宋_GB2312" w:eastAsia="仿宋_GB2312" w:cs="仿宋_GB2312"/>
                <w:b w:val="0"/>
                <w:bCs/>
                <w:color w:val="auto"/>
                <w:spacing w:val="0"/>
                <w:w w:val="100"/>
                <w:position w:val="0"/>
                <w:sz w:val="28"/>
                <w:szCs w:val="28"/>
                <w:highlight w:val="none"/>
              </w:rPr>
              <w:t>，打造供港蔬菜、洋葱、马铃薯等特色蔬菜产业板块；</w:t>
            </w:r>
            <w:r>
              <w:rPr>
                <w:rFonts w:hint="eastAsia" w:ascii="仿宋_GB2312" w:hAnsi="仿宋_GB2312" w:eastAsia="仿宋_GB2312" w:cs="仿宋_GB2312"/>
                <w:b w:val="0"/>
                <w:bCs/>
                <w:color w:val="auto"/>
                <w:spacing w:val="0"/>
                <w:w w:val="100"/>
                <w:position w:val="0"/>
                <w:sz w:val="28"/>
                <w:szCs w:val="28"/>
                <w:highlight w:val="none"/>
                <w:u w:val="single"/>
              </w:rPr>
              <w:t>依托中农大康、县种子公司、东方种业等种子企业</w:t>
            </w:r>
            <w:r>
              <w:rPr>
                <w:rFonts w:hint="eastAsia" w:ascii="仿宋_GB2312" w:hAnsi="仿宋_GB2312" w:eastAsia="仿宋_GB2312" w:cs="仿宋_GB2312"/>
                <w:b w:val="0"/>
                <w:bCs/>
                <w:color w:val="auto"/>
                <w:spacing w:val="0"/>
                <w:w w:val="100"/>
                <w:position w:val="0"/>
                <w:sz w:val="28"/>
                <w:szCs w:val="28"/>
                <w:highlight w:val="none"/>
              </w:rPr>
              <w:t>，打造制种产业板块；</w:t>
            </w:r>
            <w:r>
              <w:rPr>
                <w:rFonts w:hint="eastAsia" w:ascii="仿宋_GB2312" w:hAnsi="仿宋_GB2312" w:eastAsia="仿宋_GB2312" w:cs="仿宋_GB2312"/>
                <w:b w:val="0"/>
                <w:bCs/>
                <w:color w:val="auto"/>
                <w:spacing w:val="0"/>
                <w:w w:val="100"/>
                <w:position w:val="0"/>
                <w:sz w:val="28"/>
                <w:szCs w:val="28"/>
                <w:highlight w:val="none"/>
                <w:u w:val="single"/>
              </w:rPr>
              <w:t>依托共裕高新科技、天月羊肉、博峰肥牛、润丰养殖等企业</w:t>
            </w:r>
            <w:r>
              <w:rPr>
                <w:rFonts w:hint="eastAsia" w:ascii="仿宋_GB2312" w:hAnsi="仿宋_GB2312" w:eastAsia="仿宋_GB2312" w:cs="仿宋_GB2312"/>
                <w:b w:val="0"/>
                <w:bCs/>
                <w:color w:val="auto"/>
                <w:spacing w:val="0"/>
                <w:w w:val="100"/>
                <w:position w:val="0"/>
                <w:sz w:val="28"/>
                <w:szCs w:val="28"/>
                <w:highlight w:val="none"/>
              </w:rPr>
              <w:t>，打造肉牛肉羊产业板块；沿合黎山和黑河沿岸的“西北翼”，</w:t>
            </w:r>
            <w:r>
              <w:rPr>
                <w:rFonts w:hint="eastAsia" w:ascii="仿宋_GB2312" w:hAnsi="仿宋_GB2312" w:eastAsia="仿宋_GB2312" w:cs="仿宋_GB2312"/>
                <w:b w:val="0"/>
                <w:bCs/>
                <w:color w:val="auto"/>
                <w:spacing w:val="0"/>
                <w:w w:val="100"/>
                <w:position w:val="0"/>
                <w:sz w:val="28"/>
                <w:szCs w:val="28"/>
                <w:highlight w:val="none"/>
                <w:u w:val="single"/>
              </w:rPr>
              <w:t>依托仰光辣椒、宏丰脱水、荣升枸杞等企业</w:t>
            </w:r>
            <w:r>
              <w:rPr>
                <w:rFonts w:hint="eastAsia" w:ascii="仿宋_GB2312" w:hAnsi="仿宋_GB2312" w:eastAsia="仿宋_GB2312" w:cs="仿宋_GB2312"/>
                <w:b w:val="0"/>
                <w:bCs/>
                <w:color w:val="auto"/>
                <w:spacing w:val="0"/>
                <w:w w:val="100"/>
                <w:position w:val="0"/>
                <w:sz w:val="28"/>
                <w:szCs w:val="28"/>
                <w:highlight w:val="none"/>
              </w:rPr>
              <w:t>，打造辣椒干、番茄、枸杞等红色产业板块；</w:t>
            </w:r>
            <w:r>
              <w:rPr>
                <w:rFonts w:hint="eastAsia" w:ascii="仿宋_GB2312" w:hAnsi="仿宋_GB2312" w:eastAsia="仿宋_GB2312" w:cs="仿宋_GB2312"/>
                <w:b w:val="0"/>
                <w:bCs/>
                <w:color w:val="auto"/>
                <w:spacing w:val="0"/>
                <w:w w:val="100"/>
                <w:position w:val="0"/>
                <w:sz w:val="28"/>
                <w:szCs w:val="28"/>
                <w:highlight w:val="none"/>
                <w:u w:val="single"/>
              </w:rPr>
              <w:t>依托众一、六禾生态、汇欣等养殖企业</w:t>
            </w:r>
            <w:r>
              <w:rPr>
                <w:rFonts w:hint="eastAsia" w:ascii="仿宋_GB2312" w:hAnsi="仿宋_GB2312" w:eastAsia="仿宋_GB2312" w:cs="仿宋_GB2312"/>
                <w:b w:val="0"/>
                <w:bCs/>
                <w:color w:val="auto"/>
                <w:spacing w:val="0"/>
                <w:w w:val="100"/>
                <w:position w:val="0"/>
                <w:sz w:val="28"/>
                <w:szCs w:val="28"/>
                <w:highlight w:val="none"/>
              </w:rPr>
              <w:t>，打造生猪产业板块；依托前进牧业，打造奶牛产业板块。</w:t>
            </w:r>
          </w:p>
          <w:p>
            <w:pPr>
              <w:keepNext w:val="0"/>
              <w:keepLines w:val="0"/>
              <w:pageBreakBefore w:val="0"/>
              <w:widowControl/>
              <w:suppressLineNumbers w:val="0"/>
              <w:kinsoku/>
              <w:wordWrap/>
              <w:overflowPunct/>
              <w:topLinePunct/>
              <w:autoSpaceDE/>
              <w:autoSpaceDN/>
              <w:bidi w:val="0"/>
              <w:adjustRightInd w:val="0"/>
              <w:snapToGrid w:val="0"/>
              <w:spacing w:before="0" w:beforeAutospacing="0" w:after="0" w:afterAutospacing="0" w:line="540" w:lineRule="exact"/>
              <w:ind w:left="0" w:leftChars="0" w:right="0" w:firstLine="560" w:firstLineChars="200"/>
              <w:jc w:val="both"/>
              <w:textAlignment w:val="baseline"/>
              <w:rPr>
                <w:rFonts w:hint="eastAsia" w:ascii="仿宋_GB2312" w:hAnsi="仿宋_GB2312" w:eastAsia="仿宋_GB2312" w:cs="仿宋_GB2312"/>
                <w:b w:val="0"/>
                <w:bCs/>
                <w:color w:val="auto"/>
                <w:spacing w:val="0"/>
                <w:w w:val="100"/>
                <w:kern w:val="0"/>
                <w:position w:val="0"/>
                <w:sz w:val="28"/>
                <w:szCs w:val="28"/>
                <w:highlight w:val="none"/>
                <w:vertAlign w:val="baseline"/>
                <w:lang w:val="en-US" w:eastAsia="zh-CN" w:bidi="ar"/>
              </w:rPr>
            </w:pPr>
            <w:r>
              <w:rPr>
                <w:rFonts w:hint="eastAsia" w:ascii="仿宋_GB2312" w:hAnsi="仿宋_GB2312" w:eastAsia="仿宋_GB2312" w:cs="仿宋_GB2312"/>
                <w:b w:val="0"/>
                <w:bCs/>
                <w:color w:val="auto"/>
                <w:spacing w:val="0"/>
                <w:w w:val="100"/>
                <w:kern w:val="0"/>
                <w:position w:val="0"/>
                <w:sz w:val="28"/>
                <w:szCs w:val="28"/>
                <w:highlight w:val="none"/>
                <w:vertAlign w:val="baseline"/>
                <w:lang w:val="en-US" w:eastAsia="zh-CN" w:bidi="ar"/>
              </w:rPr>
              <w:t>文件第39页</w:t>
            </w:r>
          </w:p>
          <w:p>
            <w:pPr>
              <w:keepNext w:val="0"/>
              <w:keepLines w:val="0"/>
              <w:pageBreakBefore w:val="0"/>
              <w:widowControl/>
              <w:suppressLineNumbers w:val="0"/>
              <w:kinsoku/>
              <w:wordWrap/>
              <w:overflowPunct/>
              <w:topLinePunct/>
              <w:autoSpaceDE/>
              <w:autoSpaceDN/>
              <w:bidi w:val="0"/>
              <w:spacing w:before="0" w:beforeAutospacing="0" w:after="0" w:afterAutospacing="0" w:line="540" w:lineRule="exact"/>
              <w:ind w:left="0" w:leftChars="0" w:right="0" w:firstLine="560" w:firstLineChars="200"/>
              <w:jc w:val="both"/>
              <w:rPr>
                <w:rFonts w:hint="eastAsia" w:ascii="仿宋_GB2312" w:hAnsi="仿宋_GB2312" w:eastAsia="仿宋_GB2312" w:cs="仿宋_GB2312"/>
                <w:b w:val="0"/>
                <w:bCs/>
                <w:color w:val="auto"/>
                <w:spacing w:val="0"/>
                <w:w w:val="100"/>
                <w:position w:val="0"/>
                <w:sz w:val="28"/>
                <w:szCs w:val="28"/>
                <w:highlight w:val="none"/>
              </w:rPr>
            </w:pPr>
            <w:r>
              <w:rPr>
                <w:rFonts w:hint="eastAsia" w:ascii="仿宋_GB2312" w:hAnsi="仿宋_GB2312" w:eastAsia="仿宋_GB2312" w:cs="仿宋_GB2312"/>
                <w:b w:val="0"/>
                <w:bCs/>
                <w:color w:val="auto"/>
                <w:spacing w:val="0"/>
                <w:w w:val="100"/>
                <w:position w:val="0"/>
                <w:sz w:val="28"/>
                <w:szCs w:val="28"/>
                <w:highlight w:val="none"/>
                <w:lang w:eastAsia="zh-CN"/>
              </w:rPr>
              <w:t>（</w:t>
            </w:r>
            <w:r>
              <w:rPr>
                <w:rFonts w:hint="eastAsia" w:ascii="仿宋_GB2312" w:hAnsi="仿宋_GB2312" w:eastAsia="仿宋_GB2312" w:cs="仿宋_GB2312"/>
                <w:b w:val="0"/>
                <w:bCs/>
                <w:color w:val="auto"/>
                <w:spacing w:val="0"/>
                <w:w w:val="100"/>
                <w:position w:val="0"/>
                <w:sz w:val="28"/>
                <w:szCs w:val="28"/>
                <w:highlight w:val="none"/>
              </w:rPr>
              <w:t>二）提升农产品加工层次</w:t>
            </w:r>
          </w:p>
          <w:p>
            <w:pPr>
              <w:keepNext w:val="0"/>
              <w:keepLines w:val="0"/>
              <w:pageBreakBefore w:val="0"/>
              <w:widowControl/>
              <w:suppressLineNumbers w:val="0"/>
              <w:kinsoku/>
              <w:wordWrap/>
              <w:overflowPunct/>
              <w:topLinePunct/>
              <w:autoSpaceDE/>
              <w:autoSpaceDN/>
              <w:bidi w:val="0"/>
              <w:adjustRightInd w:val="0"/>
              <w:snapToGrid w:val="0"/>
              <w:spacing w:before="0" w:beforeAutospacing="0" w:after="0" w:afterAutospacing="0" w:line="540" w:lineRule="exact"/>
              <w:ind w:left="0" w:leftChars="0" w:right="0" w:firstLine="560" w:firstLineChars="200"/>
              <w:jc w:val="both"/>
              <w:textAlignment w:val="baseline"/>
              <w:rPr>
                <w:rFonts w:hint="eastAsia" w:ascii="仿宋_GB2312" w:hAnsi="仿宋_GB2312" w:eastAsia="仿宋_GB2312" w:cs="仿宋_GB2312"/>
                <w:b w:val="0"/>
                <w:bCs/>
                <w:color w:val="auto"/>
                <w:spacing w:val="0"/>
                <w:w w:val="100"/>
                <w:position w:val="0"/>
                <w:sz w:val="28"/>
                <w:szCs w:val="28"/>
                <w:highlight w:val="none"/>
              </w:rPr>
            </w:pPr>
            <w:r>
              <w:rPr>
                <w:rFonts w:hint="eastAsia" w:ascii="仿宋_GB2312" w:hAnsi="仿宋_GB2312" w:eastAsia="仿宋_GB2312" w:cs="仿宋_GB2312"/>
                <w:b w:val="0"/>
                <w:bCs/>
                <w:color w:val="auto"/>
                <w:spacing w:val="0"/>
                <w:w w:val="100"/>
                <w:position w:val="0"/>
                <w:sz w:val="28"/>
                <w:szCs w:val="28"/>
                <w:highlight w:val="none"/>
              </w:rPr>
              <w:t>建设一批精深加工项目，开发生产功能食品、保健食品、休闲食品等终端产品。以大漠紫光、茂雄集团、特石生态、金康脱水、荣升枸杞等企</w:t>
            </w:r>
            <w:r>
              <w:rPr>
                <w:rFonts w:hint="eastAsia" w:ascii="仿宋_GB2312" w:hAnsi="仿宋_GB2312" w:eastAsia="仿宋_GB2312" w:cs="仿宋_GB2312"/>
                <w:b w:val="0"/>
                <w:bCs/>
                <w:color w:val="auto"/>
                <w:spacing w:val="0"/>
                <w:w w:val="100"/>
                <w:position w:val="0"/>
                <w:sz w:val="28"/>
                <w:szCs w:val="28"/>
                <w:lang w:val="en-US" w:eastAsia="zh-CN"/>
              </w:rPr>
              <w:t>业为主体，打造高原夏菜、脱水蔬菜、林果加工全产业链，增加产业效益；以祁连酒业、祁连明珠、祁连传奇等企业为主体，创新葡萄酒新品种研发，推进葡萄酒类“液体经济”增长；以宏昇油脂、厨老大、格瑞斯等公司为主体，发展食用油、醋、酵素、饮品等传统产品结合的特色杂粮衍生品；</w:t>
            </w:r>
          </w:p>
          <w:p>
            <w:pPr>
              <w:keepNext w:val="0"/>
              <w:keepLines w:val="0"/>
              <w:pageBreakBefore w:val="0"/>
              <w:widowControl/>
              <w:suppressLineNumbers w:val="0"/>
              <w:kinsoku/>
              <w:wordWrap/>
              <w:overflowPunct/>
              <w:topLinePunct/>
              <w:autoSpaceDE/>
              <w:autoSpaceDN/>
              <w:bidi w:val="0"/>
              <w:adjustRightInd w:val="0"/>
              <w:snapToGrid w:val="0"/>
              <w:spacing w:before="0" w:beforeAutospacing="0" w:after="0" w:afterAutospacing="0" w:line="540" w:lineRule="exact"/>
              <w:ind w:left="0" w:leftChars="0" w:right="0" w:firstLine="560" w:firstLineChars="200"/>
              <w:jc w:val="both"/>
              <w:textAlignment w:val="baseline"/>
              <w:rPr>
                <w:rFonts w:hint="eastAsia" w:ascii="仿宋_GB2312" w:hAnsi="仿宋_GB2312" w:eastAsia="仿宋_GB2312" w:cs="仿宋_GB2312"/>
                <w:b w:val="0"/>
                <w:bCs/>
                <w:color w:val="auto"/>
                <w:spacing w:val="0"/>
                <w:w w:val="100"/>
                <w:position w:val="0"/>
                <w:sz w:val="28"/>
                <w:szCs w:val="28"/>
                <w:highlight w:val="none"/>
                <w:lang w:val="en-US" w:eastAsia="zh-CN"/>
              </w:rPr>
            </w:pPr>
            <w:r>
              <w:rPr>
                <w:rFonts w:hint="eastAsia" w:ascii="仿宋_GB2312" w:hAnsi="仿宋_GB2312" w:eastAsia="仿宋_GB2312" w:cs="仿宋_GB2312"/>
                <w:b w:val="0"/>
                <w:bCs/>
                <w:color w:val="auto"/>
                <w:spacing w:val="0"/>
                <w:w w:val="100"/>
                <w:position w:val="0"/>
                <w:sz w:val="28"/>
                <w:szCs w:val="28"/>
                <w:highlight w:val="none"/>
                <w:lang w:eastAsia="zh-CN"/>
              </w:rPr>
              <w:t>文件第</w:t>
            </w:r>
            <w:r>
              <w:rPr>
                <w:rFonts w:hint="eastAsia" w:ascii="仿宋_GB2312" w:hAnsi="仿宋_GB2312" w:eastAsia="仿宋_GB2312" w:cs="仿宋_GB2312"/>
                <w:b w:val="0"/>
                <w:bCs/>
                <w:color w:val="auto"/>
                <w:spacing w:val="0"/>
                <w:w w:val="100"/>
                <w:position w:val="0"/>
                <w:sz w:val="28"/>
                <w:szCs w:val="28"/>
                <w:highlight w:val="none"/>
                <w:lang w:val="en-US" w:eastAsia="zh-CN"/>
              </w:rPr>
              <w:t>53-54页</w:t>
            </w:r>
          </w:p>
          <w:p>
            <w:pPr>
              <w:keepNext w:val="0"/>
              <w:keepLines w:val="0"/>
              <w:pageBreakBefore w:val="0"/>
              <w:widowControl/>
              <w:suppressLineNumbers w:val="0"/>
              <w:kinsoku/>
              <w:wordWrap/>
              <w:overflowPunct/>
              <w:topLinePunct/>
              <w:autoSpaceDE/>
              <w:autoSpaceDN/>
              <w:bidi w:val="0"/>
              <w:spacing w:before="0" w:beforeAutospacing="0" w:after="0" w:afterAutospacing="0" w:line="540" w:lineRule="exact"/>
              <w:ind w:left="0" w:leftChars="0" w:right="0" w:firstLine="560" w:firstLineChars="200"/>
              <w:jc w:val="both"/>
              <w:outlineLvl w:val="1"/>
              <w:rPr>
                <w:rFonts w:hint="eastAsia" w:ascii="仿宋_GB2312" w:hAnsi="仿宋_GB2312" w:eastAsia="仿宋_GB2312" w:cs="仿宋_GB2312"/>
                <w:b w:val="0"/>
                <w:bCs/>
                <w:color w:val="auto"/>
                <w:spacing w:val="0"/>
                <w:w w:val="100"/>
                <w:position w:val="0"/>
                <w:sz w:val="28"/>
                <w:szCs w:val="28"/>
                <w:highlight w:val="none"/>
              </w:rPr>
            </w:pPr>
            <w:bookmarkStart w:id="8" w:name="_Toc71231009"/>
            <w:bookmarkStart w:id="9" w:name="_Toc24934"/>
            <w:r>
              <w:rPr>
                <w:rFonts w:hint="eastAsia" w:ascii="仿宋_GB2312" w:hAnsi="仿宋_GB2312" w:eastAsia="仿宋_GB2312" w:cs="仿宋_GB2312"/>
                <w:b w:val="0"/>
                <w:bCs/>
                <w:color w:val="auto"/>
                <w:spacing w:val="0"/>
                <w:w w:val="100"/>
                <w:position w:val="0"/>
                <w:sz w:val="28"/>
                <w:szCs w:val="28"/>
                <w:highlight w:val="none"/>
              </w:rPr>
              <w:t>三、万亩粤港澳大湾区蔬菜供应基地</w:t>
            </w:r>
            <w:bookmarkEnd w:id="8"/>
            <w:bookmarkEnd w:id="9"/>
          </w:p>
          <w:p>
            <w:pPr>
              <w:keepNext w:val="0"/>
              <w:keepLines w:val="0"/>
              <w:pageBreakBefore w:val="0"/>
              <w:widowControl/>
              <w:suppressLineNumbers w:val="0"/>
              <w:kinsoku/>
              <w:wordWrap/>
              <w:overflowPunct/>
              <w:topLinePunct/>
              <w:autoSpaceDE/>
              <w:autoSpaceDN/>
              <w:bidi w:val="0"/>
              <w:adjustRightInd w:val="0"/>
              <w:snapToGrid w:val="0"/>
              <w:spacing w:before="0" w:beforeAutospacing="0" w:after="0" w:afterAutospacing="0" w:line="540" w:lineRule="exact"/>
              <w:ind w:left="0" w:leftChars="0" w:right="0" w:firstLine="560" w:firstLineChars="200"/>
              <w:jc w:val="both"/>
              <w:textAlignment w:val="baseline"/>
              <w:rPr>
                <w:rFonts w:hint="eastAsia" w:ascii="仿宋_GB2312" w:hAnsi="仿宋_GB2312" w:eastAsia="仿宋_GB2312" w:cs="仿宋_GB2312"/>
                <w:b w:val="0"/>
                <w:bCs/>
                <w:color w:val="auto"/>
                <w:spacing w:val="0"/>
                <w:w w:val="100"/>
                <w:position w:val="0"/>
                <w:sz w:val="28"/>
                <w:szCs w:val="28"/>
                <w:highlight w:val="none"/>
                <w:lang w:eastAsia="zh-CN"/>
              </w:rPr>
            </w:pPr>
            <w:r>
              <w:rPr>
                <w:rFonts w:hint="eastAsia" w:ascii="仿宋_GB2312" w:hAnsi="仿宋_GB2312" w:eastAsia="仿宋_GB2312" w:cs="仿宋_GB2312"/>
                <w:b w:val="0"/>
                <w:bCs/>
                <w:color w:val="auto"/>
                <w:spacing w:val="0"/>
                <w:w w:val="100"/>
                <w:position w:val="0"/>
                <w:sz w:val="28"/>
                <w:szCs w:val="28"/>
                <w:highlight w:val="none"/>
              </w:rPr>
              <w:t>坚持以市场需求为导向，以农业产业化项目为切入点，到2025年，</w:t>
            </w:r>
            <w:r>
              <w:rPr>
                <w:rFonts w:hint="eastAsia" w:ascii="仿宋_GB2312" w:hAnsi="仿宋_GB2312" w:eastAsia="仿宋_GB2312" w:cs="仿宋_GB2312"/>
                <w:b w:val="0"/>
                <w:bCs/>
                <w:color w:val="auto"/>
                <w:spacing w:val="0"/>
                <w:w w:val="100"/>
                <w:position w:val="0"/>
                <w:sz w:val="28"/>
                <w:szCs w:val="28"/>
                <w:highlight w:val="none"/>
                <w:u w:val="single"/>
              </w:rPr>
              <w:t>依托引入的香港文汇、上海特石、深圳茂雄等外地客商</w:t>
            </w:r>
            <w:r>
              <w:rPr>
                <w:rFonts w:hint="eastAsia" w:ascii="仿宋_GB2312" w:hAnsi="仿宋_GB2312" w:eastAsia="仿宋_GB2312" w:cs="仿宋_GB2312"/>
                <w:b w:val="0"/>
                <w:bCs/>
                <w:color w:val="auto"/>
                <w:spacing w:val="0"/>
                <w:w w:val="100"/>
                <w:position w:val="0"/>
                <w:sz w:val="28"/>
                <w:szCs w:val="28"/>
                <w:highlight w:val="none"/>
              </w:rPr>
              <w:t>，计划投资3.5亿元，坚持按照“做优品牌、做大基地、做精产品、做长链条”的产业发展思路，建成粤港澳大湾区菜篮子供应基地5万亩示范区</w:t>
            </w:r>
            <w:r>
              <w:rPr>
                <w:rFonts w:hint="eastAsia" w:ascii="仿宋_GB2312" w:hAnsi="仿宋_GB2312" w:eastAsia="仿宋_GB2312" w:cs="仿宋_GB2312"/>
                <w:b w:val="0"/>
                <w:bCs/>
                <w:color w:val="auto"/>
                <w:spacing w:val="0"/>
                <w:w w:val="100"/>
                <w:position w:val="0"/>
                <w:sz w:val="28"/>
                <w:szCs w:val="28"/>
                <w:highlight w:val="none"/>
                <w:lang w:eastAsia="zh-CN"/>
              </w:rPr>
              <w:t>。</w:t>
            </w:r>
          </w:p>
          <w:p>
            <w:pPr>
              <w:keepNext w:val="0"/>
              <w:keepLines w:val="0"/>
              <w:pageBreakBefore w:val="0"/>
              <w:widowControl/>
              <w:suppressLineNumbers w:val="0"/>
              <w:kinsoku/>
              <w:wordWrap/>
              <w:overflowPunct/>
              <w:topLinePunct/>
              <w:autoSpaceDE/>
              <w:autoSpaceDN/>
              <w:bidi w:val="0"/>
              <w:adjustRightInd w:val="0"/>
              <w:snapToGrid w:val="0"/>
              <w:spacing w:before="0" w:beforeAutospacing="0" w:after="0" w:afterAutospacing="0" w:line="540" w:lineRule="exact"/>
              <w:ind w:left="0" w:leftChars="0" w:right="0" w:firstLine="560" w:firstLineChars="200"/>
              <w:jc w:val="both"/>
              <w:textAlignment w:val="baseline"/>
              <w:rPr>
                <w:rFonts w:hint="eastAsia" w:ascii="仿宋_GB2312" w:hAnsi="仿宋_GB2312" w:eastAsia="仿宋_GB2312" w:cs="仿宋_GB2312"/>
                <w:b w:val="0"/>
                <w:bCs/>
                <w:color w:val="auto"/>
                <w:spacing w:val="0"/>
                <w:w w:val="100"/>
                <w:position w:val="0"/>
                <w:sz w:val="28"/>
                <w:szCs w:val="28"/>
                <w:highlight w:val="none"/>
                <w:lang w:val="en-US" w:eastAsia="zh-CN"/>
              </w:rPr>
            </w:pPr>
            <w:r>
              <w:rPr>
                <w:rFonts w:hint="eastAsia" w:ascii="仿宋_GB2312" w:hAnsi="仿宋_GB2312" w:eastAsia="仿宋_GB2312" w:cs="仿宋_GB2312"/>
                <w:b w:val="0"/>
                <w:bCs/>
                <w:color w:val="auto"/>
                <w:spacing w:val="0"/>
                <w:w w:val="100"/>
                <w:position w:val="0"/>
                <w:sz w:val="28"/>
                <w:szCs w:val="28"/>
                <w:highlight w:val="none"/>
                <w:lang w:eastAsia="zh-CN"/>
              </w:rPr>
              <w:t>文件第</w:t>
            </w:r>
            <w:r>
              <w:rPr>
                <w:rFonts w:hint="eastAsia" w:ascii="仿宋_GB2312" w:hAnsi="仿宋_GB2312" w:eastAsia="仿宋_GB2312" w:cs="仿宋_GB2312"/>
                <w:b w:val="0"/>
                <w:bCs/>
                <w:color w:val="auto"/>
                <w:spacing w:val="0"/>
                <w:w w:val="100"/>
                <w:position w:val="0"/>
                <w:sz w:val="28"/>
                <w:szCs w:val="28"/>
                <w:highlight w:val="none"/>
                <w:lang w:val="en-US" w:eastAsia="zh-CN"/>
              </w:rPr>
              <w:t>55页</w:t>
            </w:r>
          </w:p>
          <w:p>
            <w:pPr>
              <w:keepNext w:val="0"/>
              <w:keepLines w:val="0"/>
              <w:pageBreakBefore w:val="0"/>
              <w:widowControl/>
              <w:suppressLineNumbers w:val="0"/>
              <w:kinsoku/>
              <w:wordWrap/>
              <w:overflowPunct/>
              <w:topLinePunct/>
              <w:autoSpaceDE/>
              <w:autoSpaceDN/>
              <w:bidi w:val="0"/>
              <w:spacing w:before="0" w:beforeAutospacing="0" w:after="0" w:afterAutospacing="0" w:line="540" w:lineRule="exact"/>
              <w:ind w:left="0" w:leftChars="0" w:right="0" w:firstLine="560" w:firstLineChars="200"/>
              <w:jc w:val="both"/>
              <w:outlineLvl w:val="1"/>
              <w:rPr>
                <w:rFonts w:hint="eastAsia" w:ascii="仿宋_GB2312" w:hAnsi="仿宋_GB2312" w:eastAsia="仿宋_GB2312" w:cs="仿宋_GB2312"/>
                <w:b w:val="0"/>
                <w:bCs/>
                <w:color w:val="auto"/>
                <w:spacing w:val="0"/>
                <w:w w:val="100"/>
                <w:position w:val="0"/>
                <w:sz w:val="28"/>
                <w:szCs w:val="28"/>
                <w:highlight w:val="none"/>
              </w:rPr>
            </w:pPr>
            <w:bookmarkStart w:id="10" w:name="_Toc7727"/>
            <w:bookmarkStart w:id="11" w:name="_Toc71231011"/>
            <w:r>
              <w:rPr>
                <w:rFonts w:hint="eastAsia" w:ascii="仿宋_GB2312" w:hAnsi="仿宋_GB2312" w:eastAsia="仿宋_GB2312" w:cs="仿宋_GB2312"/>
                <w:b w:val="0"/>
                <w:bCs/>
                <w:color w:val="auto"/>
                <w:spacing w:val="0"/>
                <w:w w:val="100"/>
                <w:position w:val="0"/>
                <w:sz w:val="28"/>
                <w:szCs w:val="28"/>
                <w:highlight w:val="none"/>
              </w:rPr>
              <w:t>五、万亩枸杞种植产业园</w:t>
            </w:r>
            <w:bookmarkEnd w:id="10"/>
            <w:bookmarkEnd w:id="11"/>
          </w:p>
          <w:p>
            <w:pPr>
              <w:keepNext w:val="0"/>
              <w:keepLines w:val="0"/>
              <w:pageBreakBefore w:val="0"/>
              <w:widowControl/>
              <w:suppressLineNumbers w:val="0"/>
              <w:kinsoku/>
              <w:wordWrap/>
              <w:overflowPunct/>
              <w:topLinePunct/>
              <w:autoSpaceDE/>
              <w:autoSpaceDN/>
              <w:bidi w:val="0"/>
              <w:adjustRightInd w:val="0"/>
              <w:snapToGrid w:val="0"/>
              <w:spacing w:before="0" w:beforeAutospacing="0" w:after="0" w:afterAutospacing="0" w:line="540" w:lineRule="exact"/>
              <w:ind w:left="0" w:leftChars="0" w:right="0" w:firstLine="560" w:firstLineChars="200"/>
              <w:jc w:val="both"/>
              <w:textAlignment w:val="baseline"/>
              <w:rPr>
                <w:rFonts w:hint="eastAsia" w:ascii="仿宋_GB2312" w:hAnsi="仿宋_GB2312" w:eastAsia="仿宋_GB2312" w:cs="仿宋_GB2312"/>
                <w:b w:val="0"/>
                <w:bCs/>
                <w:color w:val="auto"/>
                <w:spacing w:val="0"/>
                <w:w w:val="100"/>
                <w:position w:val="0"/>
                <w:sz w:val="28"/>
                <w:szCs w:val="28"/>
                <w:highlight w:val="none"/>
              </w:rPr>
            </w:pPr>
            <w:r>
              <w:rPr>
                <w:rFonts w:hint="eastAsia" w:ascii="仿宋_GB2312" w:hAnsi="仿宋_GB2312" w:eastAsia="仿宋_GB2312" w:cs="仿宋_GB2312"/>
                <w:b w:val="0"/>
                <w:bCs/>
                <w:color w:val="auto"/>
                <w:spacing w:val="0"/>
                <w:w w:val="100"/>
                <w:position w:val="0"/>
                <w:sz w:val="28"/>
                <w:szCs w:val="28"/>
                <w:highlight w:val="none"/>
              </w:rPr>
              <w:t>园区位于黑泉镇九坝滩，</w:t>
            </w:r>
            <w:r>
              <w:rPr>
                <w:rFonts w:hint="eastAsia" w:ascii="仿宋_GB2312" w:hAnsi="仿宋_GB2312" w:eastAsia="仿宋_GB2312" w:cs="仿宋_GB2312"/>
                <w:b w:val="0"/>
                <w:bCs/>
                <w:color w:val="auto"/>
                <w:spacing w:val="0"/>
                <w:w w:val="100"/>
                <w:position w:val="0"/>
                <w:sz w:val="28"/>
                <w:szCs w:val="28"/>
                <w:highlight w:val="none"/>
                <w:u w:val="single"/>
              </w:rPr>
              <w:t>依托引进荣升枸杞、杰达实业、汇力农牧3家企业</w:t>
            </w:r>
            <w:r>
              <w:rPr>
                <w:rFonts w:hint="eastAsia" w:ascii="仿宋_GB2312" w:hAnsi="仿宋_GB2312" w:eastAsia="仿宋_GB2312" w:cs="仿宋_GB2312"/>
                <w:b w:val="0"/>
                <w:bCs/>
                <w:color w:val="auto"/>
                <w:spacing w:val="0"/>
                <w:w w:val="100"/>
                <w:position w:val="0"/>
                <w:sz w:val="28"/>
                <w:szCs w:val="28"/>
                <w:highlight w:val="none"/>
              </w:rPr>
              <w:t>，带动本地新绿达、众一等企业4家，完成投资2.2亿元，种植枸杞1万亩，建成清洗烘干生产线9条，注册“锦鲤红”商标1个，实现收入9720万元。</w:t>
            </w:r>
            <w:bookmarkStart w:id="12" w:name="_Toc71231015"/>
          </w:p>
          <w:p>
            <w:pPr>
              <w:keepNext w:val="0"/>
              <w:keepLines w:val="0"/>
              <w:pageBreakBefore w:val="0"/>
              <w:widowControl/>
              <w:suppressLineNumbers w:val="0"/>
              <w:kinsoku/>
              <w:wordWrap/>
              <w:overflowPunct/>
              <w:topLinePunct/>
              <w:autoSpaceDE/>
              <w:autoSpaceDN/>
              <w:bidi w:val="0"/>
              <w:adjustRightInd w:val="0"/>
              <w:snapToGrid w:val="0"/>
              <w:spacing w:before="0" w:beforeAutospacing="0" w:after="0" w:afterAutospacing="0" w:line="540" w:lineRule="exact"/>
              <w:ind w:left="0" w:leftChars="0" w:right="0" w:firstLine="560" w:firstLineChars="200"/>
              <w:jc w:val="both"/>
              <w:textAlignment w:val="baseline"/>
              <w:rPr>
                <w:rFonts w:hint="eastAsia" w:ascii="仿宋_GB2312" w:hAnsi="仿宋_GB2312" w:eastAsia="仿宋_GB2312" w:cs="仿宋_GB2312"/>
                <w:b w:val="0"/>
                <w:bCs/>
                <w:color w:val="auto"/>
                <w:spacing w:val="0"/>
                <w:w w:val="100"/>
                <w:position w:val="0"/>
                <w:sz w:val="28"/>
                <w:szCs w:val="28"/>
                <w:highlight w:val="none"/>
                <w:lang w:val="en-US" w:eastAsia="zh-CN"/>
              </w:rPr>
            </w:pPr>
            <w:r>
              <w:rPr>
                <w:rFonts w:hint="eastAsia" w:ascii="仿宋_GB2312" w:hAnsi="仿宋_GB2312" w:eastAsia="仿宋_GB2312" w:cs="仿宋_GB2312"/>
                <w:b w:val="0"/>
                <w:bCs/>
                <w:color w:val="auto"/>
                <w:spacing w:val="0"/>
                <w:w w:val="100"/>
                <w:position w:val="0"/>
                <w:sz w:val="28"/>
                <w:szCs w:val="28"/>
                <w:highlight w:val="none"/>
                <w:lang w:eastAsia="zh-CN"/>
              </w:rPr>
              <w:t>文件第</w:t>
            </w:r>
            <w:r>
              <w:rPr>
                <w:rFonts w:hint="eastAsia" w:ascii="仿宋_GB2312" w:hAnsi="仿宋_GB2312" w:eastAsia="仿宋_GB2312" w:cs="仿宋_GB2312"/>
                <w:b w:val="0"/>
                <w:bCs/>
                <w:color w:val="auto"/>
                <w:spacing w:val="0"/>
                <w:w w:val="100"/>
                <w:position w:val="0"/>
                <w:sz w:val="28"/>
                <w:szCs w:val="28"/>
                <w:highlight w:val="none"/>
                <w:lang w:val="en-US" w:eastAsia="zh-CN"/>
              </w:rPr>
              <w:t>57页</w:t>
            </w:r>
          </w:p>
          <w:p>
            <w:pPr>
              <w:keepNext w:val="0"/>
              <w:keepLines w:val="0"/>
              <w:pageBreakBefore w:val="0"/>
              <w:widowControl/>
              <w:suppressLineNumbers w:val="0"/>
              <w:kinsoku/>
              <w:wordWrap/>
              <w:overflowPunct/>
              <w:topLinePunct/>
              <w:autoSpaceDE/>
              <w:autoSpaceDN/>
              <w:bidi w:val="0"/>
              <w:spacing w:before="0" w:beforeAutospacing="0" w:after="0" w:afterAutospacing="0" w:line="540" w:lineRule="exact"/>
              <w:ind w:left="0" w:leftChars="0" w:right="0" w:firstLine="560" w:firstLineChars="200"/>
              <w:jc w:val="both"/>
              <w:outlineLvl w:val="1"/>
              <w:rPr>
                <w:rFonts w:hint="eastAsia" w:ascii="仿宋_GB2312" w:hAnsi="仿宋_GB2312" w:eastAsia="仿宋_GB2312" w:cs="仿宋_GB2312"/>
                <w:b w:val="0"/>
                <w:bCs/>
                <w:color w:val="auto"/>
                <w:spacing w:val="0"/>
                <w:w w:val="100"/>
                <w:position w:val="0"/>
                <w:sz w:val="28"/>
                <w:szCs w:val="28"/>
                <w:highlight w:val="none"/>
              </w:rPr>
            </w:pPr>
            <w:bookmarkStart w:id="13" w:name="_Toc18646"/>
            <w:r>
              <w:rPr>
                <w:rFonts w:hint="eastAsia" w:ascii="仿宋_GB2312" w:hAnsi="仿宋_GB2312" w:eastAsia="仿宋_GB2312" w:cs="仿宋_GB2312"/>
                <w:b w:val="0"/>
                <w:bCs/>
                <w:color w:val="auto"/>
                <w:spacing w:val="0"/>
                <w:w w:val="100"/>
                <w:position w:val="0"/>
                <w:sz w:val="28"/>
                <w:szCs w:val="28"/>
                <w:highlight w:val="none"/>
              </w:rPr>
              <w:t>九、十万头奶肉牛养殖产业园</w:t>
            </w:r>
            <w:bookmarkEnd w:id="12"/>
            <w:bookmarkEnd w:id="13"/>
          </w:p>
          <w:p>
            <w:pPr>
              <w:keepNext w:val="0"/>
              <w:keepLines w:val="0"/>
              <w:pageBreakBefore w:val="0"/>
              <w:widowControl/>
              <w:suppressLineNumbers w:val="0"/>
              <w:kinsoku/>
              <w:wordWrap/>
              <w:overflowPunct/>
              <w:topLinePunct/>
              <w:autoSpaceDE/>
              <w:autoSpaceDN/>
              <w:bidi w:val="0"/>
              <w:spacing w:before="0" w:beforeAutospacing="0" w:after="0" w:afterAutospacing="0" w:line="540" w:lineRule="exact"/>
              <w:ind w:left="0" w:leftChars="0" w:right="0" w:firstLine="560" w:firstLineChars="200"/>
              <w:jc w:val="both"/>
              <w:rPr>
                <w:rFonts w:hint="eastAsia" w:ascii="仿宋_GB2312" w:hAnsi="仿宋_GB2312" w:eastAsia="仿宋_GB2312" w:cs="仿宋_GB2312"/>
                <w:b w:val="0"/>
                <w:bCs/>
                <w:color w:val="auto"/>
                <w:spacing w:val="0"/>
                <w:w w:val="100"/>
                <w:position w:val="0"/>
                <w:sz w:val="28"/>
                <w:szCs w:val="28"/>
                <w:highlight w:val="none"/>
              </w:rPr>
            </w:pPr>
            <w:r>
              <w:rPr>
                <w:rFonts w:hint="eastAsia" w:ascii="仿宋_GB2312" w:hAnsi="仿宋_GB2312" w:eastAsia="仿宋_GB2312" w:cs="仿宋_GB2312"/>
                <w:b w:val="0"/>
                <w:bCs/>
                <w:color w:val="auto"/>
                <w:spacing w:val="0"/>
                <w:w w:val="100"/>
                <w:position w:val="0"/>
                <w:sz w:val="28"/>
                <w:szCs w:val="28"/>
                <w:highlight w:val="none"/>
                <w:u w:val="single"/>
              </w:rPr>
              <w:t>依托前进牧业、居延牧业、德硕牧业</w:t>
            </w:r>
            <w:r>
              <w:rPr>
                <w:rFonts w:hint="eastAsia" w:ascii="仿宋_GB2312" w:hAnsi="仿宋_GB2312" w:eastAsia="仿宋_GB2312" w:cs="仿宋_GB2312"/>
                <w:b w:val="0"/>
                <w:bCs/>
                <w:color w:val="auto"/>
                <w:spacing w:val="0"/>
                <w:w w:val="100"/>
                <w:position w:val="0"/>
                <w:sz w:val="28"/>
                <w:szCs w:val="28"/>
                <w:highlight w:val="none"/>
              </w:rPr>
              <w:t>，建设10万头奶肉牛养殖园区，项目计划总投资22.1亿元，在红山村、胭脂堡村、五四村及金河湾养殖园区，建成6万头奶牛、4万头肉牛规模的奶肉牛养殖基地。</w:t>
            </w:r>
          </w:p>
          <w:p>
            <w:pPr>
              <w:keepNext w:val="0"/>
              <w:keepLines w:val="0"/>
              <w:pageBreakBefore w:val="0"/>
              <w:widowControl/>
              <w:suppressLineNumbers w:val="0"/>
              <w:kinsoku/>
              <w:wordWrap/>
              <w:overflowPunct/>
              <w:topLinePunct/>
              <w:autoSpaceDE/>
              <w:autoSpaceDN/>
              <w:bidi w:val="0"/>
              <w:spacing w:before="0" w:beforeAutospacing="0" w:after="0" w:afterAutospacing="0" w:line="540" w:lineRule="exact"/>
              <w:ind w:left="0" w:leftChars="0" w:right="0" w:firstLine="560" w:firstLineChars="200"/>
              <w:jc w:val="both"/>
              <w:rPr>
                <w:rFonts w:hint="eastAsia" w:ascii="仿宋_GB2312" w:hAnsi="仿宋_GB2312" w:eastAsia="仿宋_GB2312" w:cs="仿宋_GB2312"/>
                <w:b w:val="0"/>
                <w:bCs/>
                <w:color w:val="auto"/>
                <w:spacing w:val="0"/>
                <w:w w:val="100"/>
                <w:position w:val="0"/>
                <w:sz w:val="28"/>
                <w:szCs w:val="28"/>
                <w:highlight w:val="none"/>
                <w:lang w:val="en-US" w:eastAsia="zh-CN"/>
              </w:rPr>
            </w:pPr>
            <w:r>
              <w:rPr>
                <w:rFonts w:hint="eastAsia" w:ascii="仿宋_GB2312" w:hAnsi="仿宋_GB2312" w:eastAsia="仿宋_GB2312" w:cs="仿宋_GB2312"/>
                <w:b w:val="0"/>
                <w:bCs/>
                <w:color w:val="auto"/>
                <w:spacing w:val="0"/>
                <w:w w:val="100"/>
                <w:position w:val="0"/>
                <w:sz w:val="28"/>
                <w:szCs w:val="28"/>
                <w:highlight w:val="none"/>
                <w:lang w:eastAsia="zh-CN"/>
              </w:rPr>
              <w:t>文件第</w:t>
            </w:r>
            <w:r>
              <w:rPr>
                <w:rFonts w:hint="eastAsia" w:ascii="仿宋_GB2312" w:hAnsi="仿宋_GB2312" w:eastAsia="仿宋_GB2312" w:cs="仿宋_GB2312"/>
                <w:b w:val="0"/>
                <w:bCs/>
                <w:color w:val="auto"/>
                <w:spacing w:val="0"/>
                <w:w w:val="100"/>
                <w:position w:val="0"/>
                <w:sz w:val="28"/>
                <w:szCs w:val="28"/>
                <w:highlight w:val="none"/>
                <w:lang w:val="en-US" w:eastAsia="zh-CN"/>
              </w:rPr>
              <w:t>62页</w:t>
            </w:r>
          </w:p>
          <w:p>
            <w:pPr>
              <w:keepNext w:val="0"/>
              <w:keepLines w:val="0"/>
              <w:pageBreakBefore w:val="0"/>
              <w:widowControl/>
              <w:suppressLineNumbers w:val="0"/>
              <w:kinsoku/>
              <w:wordWrap/>
              <w:overflowPunct/>
              <w:topLinePunct/>
              <w:autoSpaceDE/>
              <w:autoSpaceDN/>
              <w:bidi w:val="0"/>
              <w:spacing w:before="0" w:beforeAutospacing="0" w:after="0" w:afterAutospacing="0" w:line="540" w:lineRule="exact"/>
              <w:ind w:left="0" w:leftChars="0" w:right="0" w:firstLine="560" w:firstLineChars="200"/>
              <w:jc w:val="both"/>
              <w:rPr>
                <w:rFonts w:hint="eastAsia" w:ascii="仿宋_GB2312" w:hAnsi="仿宋_GB2312" w:eastAsia="仿宋_GB2312" w:cs="仿宋_GB2312"/>
                <w:b w:val="0"/>
                <w:bCs/>
                <w:color w:val="auto"/>
                <w:spacing w:val="0"/>
                <w:w w:val="100"/>
                <w:position w:val="0"/>
                <w:sz w:val="30"/>
                <w:szCs w:val="30"/>
                <w:highlight w:val="none"/>
                <w:lang w:eastAsia="zh-CN"/>
              </w:rPr>
            </w:pPr>
            <w:r>
              <w:rPr>
                <w:rFonts w:hint="eastAsia" w:ascii="仿宋_GB2312" w:hAnsi="仿宋_GB2312" w:eastAsia="仿宋_GB2312" w:cs="仿宋_GB2312"/>
                <w:b w:val="0"/>
                <w:bCs/>
                <w:color w:val="auto"/>
                <w:spacing w:val="0"/>
                <w:w w:val="100"/>
                <w:position w:val="0"/>
                <w:sz w:val="28"/>
                <w:szCs w:val="28"/>
                <w:highlight w:val="none"/>
              </w:rPr>
              <w:t>4.万亩粤港澳大湾区蔬菜供应基地建设项目。2020-2025年，</w:t>
            </w:r>
            <w:r>
              <w:rPr>
                <w:rFonts w:hint="eastAsia" w:ascii="仿宋_GB2312" w:hAnsi="仿宋_GB2312" w:eastAsia="仿宋_GB2312" w:cs="仿宋_GB2312"/>
                <w:b w:val="0"/>
                <w:bCs/>
                <w:color w:val="auto"/>
                <w:spacing w:val="0"/>
                <w:w w:val="100"/>
                <w:position w:val="0"/>
                <w:sz w:val="28"/>
                <w:szCs w:val="28"/>
                <w:highlight w:val="none"/>
                <w:u w:val="single"/>
              </w:rPr>
              <w:t>依托引入文汇、特石、茂雄等公司</w:t>
            </w:r>
            <w:r>
              <w:rPr>
                <w:rFonts w:hint="eastAsia" w:ascii="仿宋_GB2312" w:hAnsi="仿宋_GB2312" w:eastAsia="仿宋_GB2312" w:cs="仿宋_GB2312"/>
                <w:b w:val="0"/>
                <w:bCs/>
                <w:color w:val="auto"/>
                <w:spacing w:val="0"/>
                <w:w w:val="100"/>
                <w:position w:val="0"/>
                <w:sz w:val="28"/>
                <w:szCs w:val="28"/>
                <w:highlight w:val="none"/>
              </w:rPr>
              <w:t>，计划投资1亿元，在南华镇、巷道镇、宣化镇、新坝镇建成1万亩粤港澳大湾区蔬菜供应基地</w:t>
            </w:r>
          </w:p>
        </w:tc>
      </w:tr>
    </w:tbl>
    <w:p>
      <w:pPr>
        <w:keepNext w:val="0"/>
        <w:keepLines w:val="0"/>
        <w:pageBreakBefore w:val="0"/>
        <w:widowControl/>
        <w:suppressLineNumbers w:val="0"/>
        <w:kinsoku/>
        <w:wordWrap/>
        <w:overflowPunct/>
        <w:topLinePunct/>
        <w:autoSpaceDE/>
        <w:autoSpaceDN/>
        <w:bidi w:val="0"/>
        <w:spacing w:beforeAutospacing="0" w:afterAutospacing="0" w:line="540" w:lineRule="exact"/>
        <w:ind w:left="0" w:leftChars="0" w:right="0" w:firstLine="640" w:firstLineChars="200"/>
        <w:jc w:val="both"/>
        <w:rPr>
          <w:rFonts w:hint="eastAsia" w:ascii="仿宋_GB2312" w:hAnsi="仿宋_GB2312" w:eastAsia="仿宋_GB2312" w:cs="仿宋_GB2312"/>
          <w:b w:val="0"/>
          <w:bCs/>
          <w:color w:val="auto"/>
          <w:spacing w:val="0"/>
          <w:w w:val="100"/>
          <w:kern w:val="2"/>
          <w:position w:val="0"/>
          <w:sz w:val="32"/>
          <w:szCs w:val="32"/>
          <w:lang w:val="en-US" w:eastAsia="zh-CN" w:bidi="ar"/>
        </w:rPr>
      </w:pPr>
      <w:r>
        <w:rPr>
          <w:rFonts w:hint="eastAsia" w:ascii="仿宋_GB2312" w:hAnsi="仿宋_GB2312" w:eastAsia="仿宋_GB2312" w:cs="仿宋_GB2312"/>
          <w:b w:val="0"/>
          <w:bCs/>
          <w:color w:val="auto"/>
          <w:spacing w:val="0"/>
          <w:w w:val="100"/>
          <w:kern w:val="2"/>
          <w:position w:val="0"/>
          <w:sz w:val="32"/>
          <w:szCs w:val="32"/>
          <w:lang w:val="en-US" w:eastAsia="zh-CN" w:bidi="ar"/>
        </w:rPr>
        <w:t>b.剖析论证</w:t>
      </w:r>
    </w:p>
    <w:p>
      <w:pPr>
        <w:keepNext w:val="0"/>
        <w:keepLines w:val="0"/>
        <w:pageBreakBefore w:val="0"/>
        <w:widowControl/>
        <w:suppressLineNumbers w:val="0"/>
        <w:kinsoku/>
        <w:wordWrap/>
        <w:overflowPunct/>
        <w:topLinePunct/>
        <w:autoSpaceDE/>
        <w:autoSpaceDN/>
        <w:bidi w:val="0"/>
        <w:spacing w:beforeAutospacing="0" w:afterAutospacing="0" w:line="540" w:lineRule="exact"/>
        <w:ind w:left="0" w:leftChars="0" w:right="0" w:firstLine="640" w:firstLineChars="200"/>
        <w:jc w:val="both"/>
        <w:rPr>
          <w:rFonts w:hint="eastAsia" w:ascii="仿宋_GB2312" w:hAnsi="仿宋_GB2312" w:eastAsia="仿宋_GB2312" w:cs="仿宋_GB2312"/>
          <w:b w:val="0"/>
          <w:bCs/>
          <w:color w:val="auto"/>
          <w:spacing w:val="0"/>
          <w:w w:val="100"/>
          <w:kern w:val="2"/>
          <w:position w:val="0"/>
          <w:sz w:val="32"/>
          <w:szCs w:val="32"/>
          <w:lang w:val="en-US" w:eastAsia="zh-CN" w:bidi="ar"/>
        </w:rPr>
      </w:pPr>
      <w:r>
        <w:rPr>
          <w:rFonts w:hint="eastAsia" w:ascii="仿宋_GB2312" w:hAnsi="仿宋_GB2312" w:eastAsia="仿宋_GB2312" w:cs="仿宋_GB2312"/>
          <w:b w:val="0"/>
          <w:bCs/>
          <w:color w:val="auto"/>
          <w:spacing w:val="0"/>
          <w:w w:val="100"/>
          <w:kern w:val="2"/>
          <w:position w:val="0"/>
          <w:sz w:val="32"/>
          <w:szCs w:val="32"/>
          <w:lang w:val="en-US" w:eastAsia="zh-CN" w:bidi="ar"/>
        </w:rPr>
        <w:t>文件内容违反《公平竞争审查制度实施细则》“第十五条影响生产经营成本标准（一）不得违法给予特定经营者优惠政策、包括但不限于：1.没有法律、行政法规或者国务院规定依据，给予特定经营者财政奖励和补贴”的规定。</w:t>
      </w:r>
    </w:p>
    <w:p>
      <w:pPr>
        <w:keepNext w:val="0"/>
        <w:keepLines w:val="0"/>
        <w:pageBreakBefore w:val="0"/>
        <w:widowControl/>
        <w:suppressLineNumbers w:val="0"/>
        <w:kinsoku/>
        <w:wordWrap/>
        <w:overflowPunct/>
        <w:topLinePunct/>
        <w:autoSpaceDE/>
        <w:autoSpaceDN/>
        <w:bidi w:val="0"/>
        <w:spacing w:beforeAutospacing="0" w:afterAutospacing="0" w:line="540" w:lineRule="exact"/>
        <w:ind w:left="0" w:leftChars="0" w:right="0" w:firstLine="640" w:firstLineChars="200"/>
        <w:jc w:val="both"/>
        <w:rPr>
          <w:rFonts w:hint="eastAsia" w:ascii="仿宋_GB2312" w:hAnsi="仿宋_GB2312" w:eastAsia="仿宋_GB2312" w:cs="仿宋_GB2312"/>
          <w:b w:val="0"/>
          <w:bCs/>
          <w:color w:val="auto"/>
          <w:spacing w:val="0"/>
          <w:w w:val="100"/>
          <w:kern w:val="2"/>
          <w:position w:val="0"/>
          <w:sz w:val="32"/>
          <w:szCs w:val="32"/>
          <w:lang w:val="en-US" w:eastAsia="zh-CN" w:bidi="ar"/>
        </w:rPr>
      </w:pPr>
      <w:r>
        <w:rPr>
          <w:rFonts w:hint="eastAsia" w:ascii="仿宋_GB2312" w:hAnsi="仿宋_GB2312" w:eastAsia="仿宋_GB2312" w:cs="仿宋_GB2312"/>
          <w:b w:val="0"/>
          <w:bCs/>
          <w:color w:val="auto"/>
          <w:spacing w:val="0"/>
          <w:w w:val="100"/>
          <w:kern w:val="2"/>
          <w:position w:val="0"/>
          <w:sz w:val="32"/>
          <w:szCs w:val="32"/>
          <w:lang w:val="en-US" w:eastAsia="zh-CN" w:bidi="ar"/>
        </w:rPr>
        <w:t>从特定经营者角度界定，或者直接规定具体的受惠企业，或者规定受惠企业的类型（如龙头企业）。从优惠类型分析，虽然以“依托”“引导、支持”“重点发展”“做强”等概括性地表述为主，并未明确具体的优惠类型，文件的主要功能可能是对本县及相关部门提出工作要求，对相关工作进行部署安排，但是文件中的工作目标和主要工作内容，会被转化、落实为具体的政策措施，会对相关主体产生影响，而且，如果文件只是笼统性地表述，反而可能会给执行者提供更多“自由裁量”的空间，因此，对此类文件更应进行规制。</w:t>
      </w:r>
    </w:p>
    <w:p>
      <w:pPr>
        <w:keepNext w:val="0"/>
        <w:keepLines w:val="0"/>
        <w:pageBreakBefore w:val="0"/>
        <w:widowControl/>
        <w:suppressLineNumbers w:val="0"/>
        <w:kinsoku/>
        <w:wordWrap/>
        <w:overflowPunct/>
        <w:topLinePunct/>
        <w:autoSpaceDE/>
        <w:autoSpaceDN/>
        <w:bidi w:val="0"/>
        <w:spacing w:beforeAutospacing="0" w:afterAutospacing="0" w:line="540" w:lineRule="exact"/>
        <w:ind w:left="0" w:leftChars="0" w:right="0" w:firstLine="640" w:firstLineChars="200"/>
        <w:jc w:val="both"/>
        <w:rPr>
          <w:rFonts w:hint="eastAsia" w:ascii="楷体_GB2312" w:hAnsi="楷体_GB2312" w:eastAsia="楷体_GB2312" w:cs="楷体_GB2312"/>
          <w:b w:val="0"/>
          <w:bCs/>
          <w:color w:val="auto"/>
          <w:spacing w:val="0"/>
          <w:w w:val="100"/>
          <w:kern w:val="2"/>
          <w:position w:val="0"/>
          <w:sz w:val="32"/>
          <w:szCs w:val="32"/>
          <w:lang w:val="en-US" w:eastAsia="zh-CN" w:bidi="ar"/>
        </w:rPr>
      </w:pPr>
      <w:r>
        <w:rPr>
          <w:rFonts w:hint="eastAsia" w:ascii="楷体_GB2312" w:hAnsi="楷体_GB2312" w:eastAsia="楷体_GB2312" w:cs="楷体_GB2312"/>
          <w:b w:val="0"/>
          <w:bCs/>
          <w:color w:val="auto"/>
          <w:spacing w:val="0"/>
          <w:w w:val="100"/>
          <w:kern w:val="2"/>
          <w:position w:val="0"/>
          <w:sz w:val="32"/>
          <w:szCs w:val="32"/>
          <w:lang w:val="en-US" w:eastAsia="zh-CN" w:bidi="ar"/>
        </w:rPr>
        <w:t>（四）《高台县国民经济和社会发展第十四个五年规划和2035年远景目标纲要》（高政发〔2021〕26号）</w:t>
      </w:r>
    </w:p>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00" w:firstLineChars="200"/>
        <w:jc w:val="both"/>
        <w:textAlignment w:val="baseline"/>
        <w:rPr>
          <w:rFonts w:hint="eastAsia" w:ascii="仿宋_GB2312" w:hAnsi="仿宋_GB2312" w:eastAsia="仿宋_GB2312" w:cs="仿宋_GB2312"/>
          <w:b w:val="0"/>
          <w:bCs/>
          <w:color w:val="auto"/>
          <w:spacing w:val="0"/>
          <w:w w:val="100"/>
          <w:kern w:val="0"/>
          <w:position w:val="0"/>
          <w:sz w:val="30"/>
          <w:szCs w:val="30"/>
          <w:highlight w:val="none"/>
          <w:vertAlign w:val="baseline"/>
        </w:rPr>
      </w:pPr>
      <w:r>
        <w:rPr>
          <w:rFonts w:hint="eastAsia" w:ascii="仿宋_GB2312" w:hAnsi="仿宋_GB2312" w:eastAsia="仿宋_GB2312" w:cs="仿宋_GB2312"/>
          <w:b w:val="0"/>
          <w:bCs/>
          <w:color w:val="auto"/>
          <w:spacing w:val="0"/>
          <w:w w:val="100"/>
          <w:kern w:val="0"/>
          <w:position w:val="0"/>
          <w:sz w:val="30"/>
          <w:szCs w:val="30"/>
          <w:highlight w:val="none"/>
          <w:vertAlign w:val="baseline"/>
          <w:lang w:val="en-US" w:eastAsia="zh-CN" w:bidi="ar"/>
        </w:rPr>
        <w:t>a.问题内容条款</w:t>
      </w:r>
    </w:p>
    <w:tbl>
      <w:tblPr>
        <w:tblStyle w:val="18"/>
        <w:tblW w:w="5000" w:type="pct"/>
        <w:tblInd w:w="0" w:type="dxa"/>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865"/>
      </w:tblGrid>
      <w:tr>
        <w:tblPrEx>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CellMar>
            <w:top w:w="0" w:type="dxa"/>
            <w:left w:w="0" w:type="dxa"/>
            <w:bottom w:w="0" w:type="dxa"/>
            <w:right w:w="0" w:type="dxa"/>
          </w:tblCellMar>
        </w:tblPrEx>
        <w:trPr>
          <w:trHeight w:val="636" w:hRule="atLeast"/>
        </w:trPr>
        <w:tc>
          <w:tcPr>
            <w:tcW w:w="5000" w:type="pct"/>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pageBreakBefore w:val="0"/>
              <w:widowControl/>
              <w:suppressLineNumbers w:val="0"/>
              <w:kinsoku/>
              <w:wordWrap/>
              <w:overflowPunct/>
              <w:topLinePunct/>
              <w:autoSpaceDE/>
              <w:autoSpaceDN/>
              <w:bidi w:val="0"/>
              <w:spacing w:before="0" w:beforeAutospacing="0" w:after="0" w:afterAutospacing="0" w:line="540" w:lineRule="exact"/>
              <w:ind w:left="0" w:leftChars="0" w:right="0" w:firstLine="560" w:firstLineChars="200"/>
              <w:jc w:val="both"/>
              <w:rPr>
                <w:rFonts w:hint="eastAsia" w:ascii="仿宋_GB2312" w:hAnsi="仿宋_GB2312" w:eastAsia="仿宋_GB2312" w:cs="仿宋_GB2312"/>
                <w:b w:val="0"/>
                <w:bCs/>
                <w:color w:val="auto"/>
                <w:spacing w:val="0"/>
                <w:w w:val="100"/>
                <w:position w:val="0"/>
                <w:sz w:val="30"/>
                <w:szCs w:val="30"/>
                <w:highlight w:val="none"/>
                <w:lang w:eastAsia="zh-CN"/>
              </w:rPr>
            </w:pPr>
            <w:r>
              <w:rPr>
                <w:rFonts w:hint="eastAsia" w:ascii="仿宋_GB2312" w:hAnsi="仿宋_GB2312" w:eastAsia="仿宋_GB2312" w:cs="仿宋_GB2312"/>
                <w:b w:val="0"/>
                <w:bCs/>
                <w:color w:val="auto"/>
                <w:spacing w:val="0"/>
                <w:w w:val="100"/>
                <w:position w:val="0"/>
                <w:sz w:val="28"/>
                <w:szCs w:val="28"/>
                <w:highlight w:val="none"/>
              </w:rPr>
              <w:t>第二节培育壮大特色优势产业</w:t>
            </w:r>
            <w:r>
              <w:rPr>
                <w:rFonts w:hint="eastAsia" w:ascii="仿宋_GB2312" w:hAnsi="仿宋_GB2312" w:eastAsia="仿宋_GB2312" w:cs="仿宋_GB2312"/>
                <w:b w:val="0"/>
                <w:bCs/>
                <w:color w:val="auto"/>
                <w:spacing w:val="0"/>
                <w:w w:val="100"/>
                <w:kern w:val="0"/>
                <w:position w:val="0"/>
                <w:sz w:val="28"/>
                <w:szCs w:val="28"/>
                <w:highlight w:val="none"/>
                <w:lang w:val="en-US" w:eastAsia="zh-CN" w:bidi="ar"/>
              </w:rPr>
              <w:t>加快产业结构调整优化，促进形成区域特色专业化生产布局，把提高农产品品质和附加值作为农业生产的主攻方向，实现农产品向绿色、高品质转变，提升农业供给质量效率。优化农业产业布局。坚持“区域化布局、标准化打造、规模化发展”思路，进一步优化调整产业结构，科学合理布局产业，形成主体功能明显，优势互补的“园区引领、两翼带动、五带发展”产业发展新格局。“园区”引领：全域布局现代农业产业园区，提质扩容现代农业示范园区，推动各镇因地制宜建设特色农业产业示范园副中心，着力形成一核多元现代农业产业集群。以现代农业示范园区、共裕高新农牧科技产业示范园、粤港澳大湾区蔬菜供应基地等为核心引领区，打造技术、资金、人才、物流洼地，示范引领蔬菜、制种、草畜三大主导产业发展。“两翼”带动：沿祁连山和国道312线西南翼，沿合黎山和黑河沿岸西北翼，</w:t>
            </w:r>
            <w:r>
              <w:rPr>
                <w:rFonts w:hint="eastAsia" w:ascii="仿宋_GB2312" w:hAnsi="仿宋_GB2312" w:eastAsia="仿宋_GB2312" w:cs="仿宋_GB2312"/>
                <w:b w:val="0"/>
                <w:bCs/>
                <w:color w:val="auto"/>
                <w:spacing w:val="0"/>
                <w:w w:val="100"/>
                <w:kern w:val="0"/>
                <w:position w:val="0"/>
                <w:sz w:val="28"/>
                <w:szCs w:val="28"/>
                <w:highlight w:val="none"/>
                <w:u w:val="single"/>
                <w:lang w:val="en-US" w:eastAsia="zh-CN" w:bidi="ar"/>
              </w:rPr>
              <w:t>依托茂雄集团、中农大康、仰光辣椒等企业和合作组织，打造特色蔬菜产业、制种产业、红色产业（辣椒干、番茄、枸杞）三个板块和50万头只肉牛肉羊育肥、50万头生猪养殖两个基地</w:t>
            </w:r>
          </w:p>
        </w:tc>
      </w:tr>
    </w:tbl>
    <w:p>
      <w:pPr>
        <w:keepNext w:val="0"/>
        <w:keepLines w:val="0"/>
        <w:pageBreakBefore w:val="0"/>
        <w:widowControl/>
        <w:suppressLineNumbers w:val="0"/>
        <w:kinsoku/>
        <w:wordWrap/>
        <w:overflowPunct/>
        <w:topLinePunct/>
        <w:autoSpaceDE/>
        <w:autoSpaceDN/>
        <w:bidi w:val="0"/>
        <w:spacing w:beforeAutospacing="0" w:afterAutospacing="0" w:line="540" w:lineRule="exact"/>
        <w:ind w:left="0" w:leftChars="0" w:right="0" w:firstLine="640" w:firstLineChars="200"/>
        <w:jc w:val="both"/>
        <w:rPr>
          <w:rFonts w:hint="eastAsia" w:ascii="仿宋_GB2312" w:hAnsi="仿宋_GB2312" w:eastAsia="仿宋_GB2312" w:cs="仿宋_GB2312"/>
          <w:b w:val="0"/>
          <w:bCs/>
          <w:color w:val="auto"/>
          <w:spacing w:val="0"/>
          <w:w w:val="100"/>
          <w:kern w:val="2"/>
          <w:position w:val="0"/>
          <w:sz w:val="32"/>
          <w:szCs w:val="32"/>
          <w:lang w:val="en-US" w:eastAsia="zh-CN" w:bidi="ar"/>
        </w:rPr>
      </w:pPr>
      <w:r>
        <w:rPr>
          <w:rFonts w:hint="eastAsia" w:ascii="仿宋_GB2312" w:hAnsi="仿宋_GB2312" w:eastAsia="仿宋_GB2312" w:cs="仿宋_GB2312"/>
          <w:b w:val="0"/>
          <w:bCs/>
          <w:color w:val="auto"/>
          <w:spacing w:val="0"/>
          <w:w w:val="100"/>
          <w:kern w:val="2"/>
          <w:position w:val="0"/>
          <w:sz w:val="32"/>
          <w:szCs w:val="32"/>
          <w:lang w:val="en-US" w:eastAsia="zh-CN" w:bidi="ar"/>
        </w:rPr>
        <w:t>b.剖析论证</w:t>
      </w:r>
    </w:p>
    <w:p>
      <w:pPr>
        <w:keepNext w:val="0"/>
        <w:keepLines w:val="0"/>
        <w:pageBreakBefore w:val="0"/>
        <w:widowControl/>
        <w:suppressLineNumbers w:val="0"/>
        <w:kinsoku/>
        <w:wordWrap/>
        <w:overflowPunct/>
        <w:topLinePunct/>
        <w:autoSpaceDE/>
        <w:autoSpaceDN/>
        <w:bidi w:val="0"/>
        <w:spacing w:beforeAutospacing="0" w:afterAutospacing="0" w:line="540" w:lineRule="exact"/>
        <w:ind w:left="0" w:leftChars="0" w:right="0" w:firstLine="640" w:firstLineChars="200"/>
        <w:jc w:val="both"/>
        <w:rPr>
          <w:rFonts w:hint="eastAsia" w:ascii="仿宋_GB2312" w:hAnsi="仿宋_GB2312" w:eastAsia="仿宋_GB2312" w:cs="仿宋_GB2312"/>
          <w:b w:val="0"/>
          <w:bCs/>
          <w:color w:val="auto"/>
          <w:spacing w:val="0"/>
          <w:w w:val="100"/>
          <w:kern w:val="2"/>
          <w:position w:val="0"/>
          <w:sz w:val="32"/>
          <w:szCs w:val="32"/>
          <w:lang w:val="en-US" w:eastAsia="zh-CN" w:bidi="ar"/>
        </w:rPr>
      </w:pPr>
      <w:r>
        <w:rPr>
          <w:rFonts w:hint="eastAsia" w:ascii="仿宋_GB2312" w:hAnsi="仿宋_GB2312" w:eastAsia="仿宋_GB2312" w:cs="仿宋_GB2312"/>
          <w:b w:val="0"/>
          <w:bCs/>
          <w:color w:val="auto"/>
          <w:spacing w:val="0"/>
          <w:w w:val="100"/>
          <w:kern w:val="2"/>
          <w:position w:val="0"/>
          <w:sz w:val="32"/>
          <w:szCs w:val="32"/>
          <w:lang w:val="en-US" w:eastAsia="zh-CN" w:bidi="ar"/>
        </w:rPr>
        <w:t>文件内容违反《公平竞争审查制度实施细则》“第十五条影响生产经营成本标准（一）不得违法给予特定经营者优惠政策、包括但不限于：1.没有法律、行政法规或者国务院规定依据，给予特定经营者财政奖励和补贴”的规定。</w:t>
      </w:r>
    </w:p>
    <w:p>
      <w:pPr>
        <w:keepNext w:val="0"/>
        <w:keepLines w:val="0"/>
        <w:pageBreakBefore w:val="0"/>
        <w:widowControl/>
        <w:suppressLineNumbers w:val="0"/>
        <w:kinsoku/>
        <w:wordWrap/>
        <w:overflowPunct/>
        <w:topLinePunct/>
        <w:autoSpaceDE/>
        <w:autoSpaceDN/>
        <w:bidi w:val="0"/>
        <w:spacing w:beforeAutospacing="0" w:afterAutospacing="0" w:line="540" w:lineRule="exact"/>
        <w:ind w:left="0" w:leftChars="0" w:right="0" w:firstLine="640" w:firstLineChars="200"/>
        <w:jc w:val="both"/>
        <w:rPr>
          <w:rFonts w:hint="eastAsia" w:ascii="仿宋_GB2312" w:hAnsi="仿宋_GB2312" w:eastAsia="仿宋_GB2312" w:cs="仿宋_GB2312"/>
          <w:b w:val="0"/>
          <w:bCs/>
          <w:color w:val="auto"/>
          <w:spacing w:val="0"/>
          <w:w w:val="100"/>
          <w:kern w:val="2"/>
          <w:position w:val="0"/>
          <w:sz w:val="32"/>
          <w:szCs w:val="32"/>
          <w:lang w:val="en-US" w:eastAsia="zh-CN" w:bidi="ar"/>
        </w:rPr>
      </w:pPr>
      <w:r>
        <w:rPr>
          <w:rFonts w:hint="eastAsia" w:ascii="仿宋_GB2312" w:hAnsi="仿宋_GB2312" w:eastAsia="仿宋_GB2312" w:cs="仿宋_GB2312"/>
          <w:b w:val="0"/>
          <w:bCs/>
          <w:color w:val="auto"/>
          <w:spacing w:val="0"/>
          <w:w w:val="100"/>
          <w:kern w:val="2"/>
          <w:position w:val="0"/>
          <w:sz w:val="32"/>
          <w:szCs w:val="32"/>
          <w:lang w:val="en-US" w:eastAsia="zh-CN" w:bidi="ar"/>
        </w:rPr>
        <w:t>从特定经营者角度界定，或者直接规定具体的受惠企业，或者规定受惠企业的类型（如龙头企业）。从优惠类型分析，虽然以“依托”“引导、支持”“重点发展”“做强”等概括性地表述为主，并未明确具体的优惠类型，文件的主要功能可能是对本县及相关部门提出工作要求，对相关工作进行部署安排，但是文件中的工作目标和主要工作内容，会被转化、落实为具体的政策措施，会对相关主体产生影响，而且，如果文件只是笼统性地表述，反而可能会给执行者提供更多“自由裁量”的空间，因此，对此类文件更应进行规制。</w:t>
      </w:r>
    </w:p>
    <w:p>
      <w:pPr>
        <w:keepNext w:val="0"/>
        <w:keepLines w:val="0"/>
        <w:pageBreakBefore w:val="0"/>
        <w:widowControl/>
        <w:suppressLineNumbers w:val="0"/>
        <w:kinsoku/>
        <w:wordWrap/>
        <w:overflowPunct/>
        <w:topLinePunct/>
        <w:autoSpaceDE/>
        <w:autoSpaceDN/>
        <w:bidi w:val="0"/>
        <w:spacing w:beforeAutospacing="0" w:afterAutospacing="0" w:line="540" w:lineRule="exact"/>
        <w:ind w:left="0" w:leftChars="0" w:right="0" w:firstLine="600" w:firstLineChars="200"/>
        <w:jc w:val="both"/>
        <w:rPr>
          <w:rFonts w:hint="eastAsia" w:ascii="楷体_GB2312" w:hAnsi="楷体_GB2312" w:eastAsia="楷体_GB2312" w:cs="楷体_GB2312"/>
          <w:b w:val="0"/>
          <w:bCs/>
          <w:color w:val="auto"/>
          <w:spacing w:val="0"/>
          <w:w w:val="100"/>
          <w:kern w:val="2"/>
          <w:position w:val="0"/>
          <w:sz w:val="30"/>
          <w:szCs w:val="30"/>
          <w:highlight w:val="none"/>
        </w:rPr>
      </w:pPr>
      <w:r>
        <w:rPr>
          <w:rFonts w:hint="eastAsia" w:ascii="楷体_GB2312" w:hAnsi="楷体_GB2312" w:eastAsia="楷体_GB2312" w:cs="楷体_GB2312"/>
          <w:b w:val="0"/>
          <w:bCs/>
          <w:color w:val="auto"/>
          <w:spacing w:val="0"/>
          <w:w w:val="100"/>
          <w:position w:val="0"/>
          <w:sz w:val="30"/>
          <w:szCs w:val="30"/>
          <w:shd w:val="clear" w:color="auto" w:fill="FFFFFF"/>
          <w:lang w:eastAsia="zh-CN"/>
        </w:rPr>
        <w:t>（五）</w:t>
      </w:r>
      <w:r>
        <w:rPr>
          <w:rFonts w:hint="eastAsia" w:ascii="楷体_GB2312" w:hAnsi="楷体_GB2312" w:eastAsia="楷体_GB2312" w:cs="楷体_GB2312"/>
          <w:b w:val="0"/>
          <w:bCs/>
          <w:color w:val="auto"/>
          <w:spacing w:val="0"/>
          <w:w w:val="100"/>
          <w:kern w:val="2"/>
          <w:position w:val="0"/>
          <w:sz w:val="30"/>
          <w:szCs w:val="30"/>
          <w:highlight w:val="none"/>
          <w:lang w:val="en-US" w:eastAsia="zh-CN" w:bidi="ar"/>
        </w:rPr>
        <w:t>《高台县制种大县（玉米）发展规划（2021-2025年）》</w:t>
      </w:r>
      <w:r>
        <w:rPr>
          <w:rFonts w:hint="eastAsia" w:ascii="楷体_GB2312" w:hAnsi="楷体_GB2312" w:eastAsia="楷体_GB2312" w:cs="楷体_GB2312"/>
          <w:b w:val="0"/>
          <w:bCs/>
          <w:color w:val="auto"/>
          <w:spacing w:val="0"/>
          <w:w w:val="100"/>
          <w:position w:val="0"/>
          <w:sz w:val="30"/>
          <w:szCs w:val="30"/>
          <w:highlight w:val="none"/>
          <w:shd w:val="clear" w:color="auto" w:fill="FFFFFF"/>
          <w:lang w:eastAsia="zh-CN"/>
        </w:rPr>
        <w:t>（</w:t>
      </w:r>
      <w:r>
        <w:rPr>
          <w:rFonts w:hint="eastAsia" w:ascii="楷体_GB2312" w:hAnsi="楷体_GB2312" w:eastAsia="楷体_GB2312" w:cs="楷体_GB2312"/>
          <w:b w:val="0"/>
          <w:bCs/>
          <w:color w:val="auto"/>
          <w:spacing w:val="0"/>
          <w:w w:val="100"/>
          <w:position w:val="0"/>
          <w:sz w:val="30"/>
          <w:szCs w:val="30"/>
          <w:highlight w:val="none"/>
          <w:u w:color="000000"/>
        </w:rPr>
        <w:t>高政发〔2021〕</w:t>
      </w:r>
      <w:r>
        <w:rPr>
          <w:rFonts w:hint="eastAsia" w:ascii="楷体_GB2312" w:hAnsi="楷体_GB2312" w:eastAsia="楷体_GB2312" w:cs="楷体_GB2312"/>
          <w:b w:val="0"/>
          <w:bCs/>
          <w:color w:val="auto"/>
          <w:spacing w:val="0"/>
          <w:w w:val="100"/>
          <w:position w:val="0"/>
          <w:sz w:val="30"/>
          <w:szCs w:val="30"/>
          <w:highlight w:val="none"/>
          <w:u w:color="000000"/>
          <w:lang w:val="en-US" w:eastAsia="zh-CN"/>
        </w:rPr>
        <w:t>36</w:t>
      </w:r>
      <w:r>
        <w:rPr>
          <w:rFonts w:hint="eastAsia" w:ascii="楷体_GB2312" w:hAnsi="楷体_GB2312" w:eastAsia="楷体_GB2312" w:cs="楷体_GB2312"/>
          <w:b w:val="0"/>
          <w:bCs/>
          <w:color w:val="auto"/>
          <w:spacing w:val="0"/>
          <w:w w:val="100"/>
          <w:position w:val="0"/>
          <w:sz w:val="30"/>
          <w:szCs w:val="30"/>
          <w:highlight w:val="none"/>
          <w:u w:color="000000"/>
        </w:rPr>
        <w:t>号</w:t>
      </w:r>
      <w:r>
        <w:rPr>
          <w:rFonts w:hint="eastAsia" w:ascii="楷体_GB2312" w:hAnsi="楷体_GB2312" w:eastAsia="楷体_GB2312" w:cs="楷体_GB2312"/>
          <w:b w:val="0"/>
          <w:bCs/>
          <w:color w:val="auto"/>
          <w:spacing w:val="0"/>
          <w:w w:val="100"/>
          <w:kern w:val="2"/>
          <w:position w:val="0"/>
          <w:sz w:val="30"/>
          <w:szCs w:val="30"/>
          <w:highlight w:val="none"/>
          <w:lang w:val="en-US" w:eastAsia="zh-CN" w:bidi="ar"/>
        </w:rPr>
        <w:t>）</w:t>
      </w:r>
    </w:p>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00" w:firstLineChars="200"/>
        <w:jc w:val="both"/>
        <w:textAlignment w:val="baseline"/>
        <w:rPr>
          <w:rFonts w:hint="eastAsia" w:ascii="仿宋_GB2312" w:hAnsi="仿宋_GB2312" w:eastAsia="仿宋_GB2312" w:cs="仿宋_GB2312"/>
          <w:b w:val="0"/>
          <w:bCs/>
          <w:color w:val="auto"/>
          <w:spacing w:val="0"/>
          <w:w w:val="100"/>
          <w:kern w:val="0"/>
          <w:position w:val="0"/>
          <w:sz w:val="30"/>
          <w:szCs w:val="30"/>
          <w:highlight w:val="none"/>
          <w:vertAlign w:val="baseline"/>
        </w:rPr>
      </w:pPr>
      <w:r>
        <w:rPr>
          <w:rFonts w:hint="eastAsia" w:ascii="仿宋_GB2312" w:hAnsi="仿宋_GB2312" w:eastAsia="仿宋_GB2312" w:cs="仿宋_GB2312"/>
          <w:b w:val="0"/>
          <w:bCs/>
          <w:color w:val="auto"/>
          <w:spacing w:val="0"/>
          <w:w w:val="100"/>
          <w:kern w:val="0"/>
          <w:position w:val="0"/>
          <w:sz w:val="30"/>
          <w:szCs w:val="30"/>
          <w:highlight w:val="none"/>
          <w:vertAlign w:val="baseline"/>
          <w:lang w:val="en-US" w:eastAsia="zh-CN" w:bidi="ar"/>
        </w:rPr>
        <w:t>a.问题内容条款</w:t>
      </w:r>
    </w:p>
    <w:tbl>
      <w:tblPr>
        <w:tblStyle w:val="18"/>
        <w:tblW w:w="5000" w:type="pct"/>
        <w:tblInd w:w="0" w:type="dxa"/>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865"/>
      </w:tblGrid>
      <w:tr>
        <w:tblPrEx>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tblCellMar>
            <w:top w:w="0" w:type="dxa"/>
            <w:left w:w="0" w:type="dxa"/>
            <w:bottom w:w="0" w:type="dxa"/>
            <w:right w:w="0" w:type="dxa"/>
          </w:tblCellMar>
        </w:tblPrEx>
        <w:trPr>
          <w:trHeight w:val="711" w:hRule="atLeast"/>
        </w:trPr>
        <w:tc>
          <w:tcPr>
            <w:tcW w:w="5000" w:type="pct"/>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pageBreakBefore w:val="0"/>
              <w:widowControl/>
              <w:suppressLineNumbers w:val="0"/>
              <w:kinsoku/>
              <w:wordWrap/>
              <w:overflowPunct/>
              <w:topLinePunct/>
              <w:autoSpaceDE/>
              <w:autoSpaceDN/>
              <w:bidi w:val="0"/>
              <w:adjustRightInd w:val="0"/>
              <w:snapToGrid w:val="0"/>
              <w:spacing w:before="0" w:beforeAutospacing="0" w:after="0" w:afterAutospacing="0" w:line="540" w:lineRule="exact"/>
              <w:ind w:left="0" w:leftChars="0" w:right="0" w:firstLine="560" w:firstLineChars="200"/>
              <w:jc w:val="both"/>
              <w:textAlignment w:val="baseline"/>
              <w:rPr>
                <w:rFonts w:hint="eastAsia" w:ascii="仿宋_GB2312" w:hAnsi="仿宋_GB2312" w:eastAsia="仿宋_GB2312" w:cs="仿宋_GB2312"/>
                <w:b w:val="0"/>
                <w:bCs/>
                <w:color w:val="auto"/>
                <w:spacing w:val="0"/>
                <w:w w:val="100"/>
                <w:position w:val="0"/>
                <w:sz w:val="28"/>
                <w:szCs w:val="28"/>
                <w:highlight w:val="none"/>
                <w:lang w:val="en-US" w:eastAsia="zh-CN"/>
              </w:rPr>
            </w:pPr>
            <w:r>
              <w:rPr>
                <w:rFonts w:hint="eastAsia" w:ascii="仿宋_GB2312" w:hAnsi="仿宋_GB2312" w:eastAsia="仿宋_GB2312" w:cs="仿宋_GB2312"/>
                <w:b w:val="0"/>
                <w:bCs/>
                <w:color w:val="auto"/>
                <w:spacing w:val="0"/>
                <w:w w:val="100"/>
                <w:position w:val="0"/>
                <w:sz w:val="28"/>
                <w:szCs w:val="28"/>
                <w:highlight w:val="none"/>
                <w:lang w:eastAsia="zh-CN"/>
              </w:rPr>
              <w:t>第</w:t>
            </w:r>
            <w:r>
              <w:rPr>
                <w:rFonts w:hint="eastAsia" w:ascii="仿宋_GB2312" w:hAnsi="仿宋_GB2312" w:eastAsia="仿宋_GB2312" w:cs="仿宋_GB2312"/>
                <w:b w:val="0"/>
                <w:bCs/>
                <w:color w:val="auto"/>
                <w:spacing w:val="0"/>
                <w:w w:val="100"/>
                <w:position w:val="0"/>
                <w:sz w:val="28"/>
                <w:szCs w:val="28"/>
                <w:highlight w:val="none"/>
                <w:lang w:val="en-US" w:eastAsia="zh-CN"/>
              </w:rPr>
              <w:t>25页</w:t>
            </w:r>
          </w:p>
          <w:p>
            <w:pPr>
              <w:keepNext w:val="0"/>
              <w:keepLines w:val="0"/>
              <w:pageBreakBefore w:val="0"/>
              <w:widowControl/>
              <w:suppressLineNumbers w:val="0"/>
              <w:kinsoku/>
              <w:wordWrap/>
              <w:overflowPunct/>
              <w:topLinePunct/>
              <w:autoSpaceDE/>
              <w:autoSpaceDN/>
              <w:bidi w:val="0"/>
              <w:spacing w:before="0" w:beforeAutospacing="0" w:after="0" w:afterAutospacing="0" w:line="540" w:lineRule="exact"/>
              <w:ind w:left="0" w:leftChars="0" w:right="0" w:firstLine="560" w:firstLineChars="200"/>
              <w:jc w:val="both"/>
              <w:outlineLvl w:val="1"/>
              <w:rPr>
                <w:rFonts w:hint="eastAsia" w:ascii="仿宋_GB2312" w:hAnsi="仿宋_GB2312" w:eastAsia="仿宋_GB2312" w:cs="仿宋_GB2312"/>
                <w:b w:val="0"/>
                <w:bCs/>
                <w:color w:val="auto"/>
                <w:spacing w:val="0"/>
                <w:w w:val="100"/>
                <w:kern w:val="2"/>
                <w:position w:val="0"/>
                <w:sz w:val="28"/>
                <w:szCs w:val="28"/>
                <w:highlight w:val="none"/>
              </w:rPr>
            </w:pPr>
            <w:bookmarkStart w:id="14" w:name="_Toc25102"/>
            <w:r>
              <w:rPr>
                <w:rFonts w:hint="eastAsia" w:ascii="仿宋_GB2312" w:hAnsi="仿宋_GB2312" w:eastAsia="仿宋_GB2312" w:cs="仿宋_GB2312"/>
                <w:b w:val="0"/>
                <w:bCs/>
                <w:color w:val="auto"/>
                <w:spacing w:val="0"/>
                <w:w w:val="100"/>
                <w:kern w:val="2"/>
                <w:position w:val="0"/>
                <w:sz w:val="28"/>
                <w:szCs w:val="28"/>
                <w:highlight w:val="none"/>
                <w:lang w:val="en-US" w:eastAsia="zh-CN" w:bidi="ar"/>
              </w:rPr>
              <w:t>4.5创新建管服机制</w:t>
            </w:r>
            <w:bookmarkEnd w:id="14"/>
          </w:p>
          <w:p>
            <w:pPr>
              <w:keepNext w:val="0"/>
              <w:keepLines w:val="0"/>
              <w:pageBreakBefore w:val="0"/>
              <w:widowControl/>
              <w:suppressLineNumbers w:val="0"/>
              <w:kinsoku/>
              <w:wordWrap/>
              <w:overflowPunct/>
              <w:topLinePunct/>
              <w:autoSpaceDE/>
              <w:autoSpaceDN/>
              <w:bidi w:val="0"/>
              <w:spacing w:before="0" w:beforeAutospacing="0" w:after="0" w:afterAutospacing="0" w:line="540" w:lineRule="exact"/>
              <w:ind w:left="0" w:leftChars="0" w:right="0" w:firstLine="560" w:firstLineChars="200"/>
              <w:jc w:val="both"/>
              <w:rPr>
                <w:rFonts w:hint="eastAsia" w:ascii="仿宋_GB2312" w:hAnsi="仿宋_GB2312" w:eastAsia="仿宋_GB2312" w:cs="仿宋_GB2312"/>
                <w:b w:val="0"/>
                <w:bCs/>
                <w:color w:val="auto"/>
                <w:spacing w:val="0"/>
                <w:w w:val="100"/>
                <w:kern w:val="2"/>
                <w:position w:val="0"/>
                <w:sz w:val="28"/>
                <w:szCs w:val="28"/>
                <w:highlight w:val="none"/>
                <w:u w:val="single"/>
                <w:lang w:val="en-US" w:eastAsia="zh-CN" w:bidi="ar"/>
              </w:rPr>
            </w:pPr>
            <w:r>
              <w:rPr>
                <w:rFonts w:hint="eastAsia" w:ascii="仿宋_GB2312" w:hAnsi="仿宋_GB2312" w:eastAsia="仿宋_GB2312" w:cs="仿宋_GB2312"/>
                <w:b w:val="0"/>
                <w:bCs/>
                <w:color w:val="auto"/>
                <w:spacing w:val="0"/>
                <w:w w:val="100"/>
                <w:kern w:val="2"/>
                <w:position w:val="0"/>
                <w:sz w:val="28"/>
                <w:szCs w:val="28"/>
                <w:highlight w:val="none"/>
                <w:lang w:val="en-US" w:eastAsia="zh-CN" w:bidi="ar"/>
              </w:rPr>
              <w:t>探索推进优质种子生产、试验、加工、服务体系建设，形成建管服新机制。建立建设投入机制，在用好国家奖补政策的同时，加大县级配套力度，制定出台县委一号文件，5年整合涉农资金1.5亿元加快现代农业发展。建立监管机制，从严落实玉米种子生产基地管理办法，建立全链条监管执法机制，确保种子质量优于国家标准。建立服务机制，</w:t>
            </w:r>
            <w:r>
              <w:rPr>
                <w:rFonts w:hint="eastAsia" w:ascii="仿宋_GB2312" w:hAnsi="仿宋_GB2312" w:eastAsia="仿宋_GB2312" w:cs="仿宋_GB2312"/>
                <w:b w:val="0"/>
                <w:bCs/>
                <w:color w:val="auto"/>
                <w:spacing w:val="0"/>
                <w:w w:val="100"/>
                <w:kern w:val="2"/>
                <w:position w:val="0"/>
                <w:sz w:val="28"/>
                <w:szCs w:val="28"/>
                <w:highlight w:val="none"/>
                <w:u w:val="single"/>
                <w:lang w:val="en-US" w:eastAsia="zh-CN" w:bidi="ar"/>
              </w:rPr>
              <w:t>坚持把国家奖补资金的60%向河南秋乐种业、金苑种业、北京顺鑫农科种业等优势企业在高台县的基地倾斜。</w:t>
            </w:r>
          </w:p>
          <w:p>
            <w:pPr>
              <w:pStyle w:val="2"/>
              <w:keepNext w:val="0"/>
              <w:keepLines w:val="0"/>
              <w:pageBreakBefore w:val="0"/>
              <w:widowControl/>
              <w:kinsoku/>
              <w:wordWrap/>
              <w:overflowPunct/>
              <w:topLinePunct/>
              <w:autoSpaceDE/>
              <w:autoSpaceDN/>
              <w:bidi w:val="0"/>
              <w:spacing w:before="0" w:after="0" w:line="540" w:lineRule="exact"/>
              <w:ind w:left="0" w:leftChars="0" w:right="0" w:firstLine="560" w:firstLineChars="200"/>
              <w:jc w:val="both"/>
              <w:rPr>
                <w:rFonts w:hint="eastAsia" w:ascii="仿宋_GB2312" w:hAnsi="仿宋_GB2312" w:eastAsia="仿宋_GB2312" w:cs="仿宋_GB2312"/>
                <w:b w:val="0"/>
                <w:bCs/>
                <w:color w:val="auto"/>
                <w:spacing w:val="0"/>
                <w:w w:val="100"/>
                <w:kern w:val="2"/>
                <w:position w:val="0"/>
                <w:sz w:val="28"/>
                <w:szCs w:val="28"/>
                <w:highlight w:val="none"/>
                <w:u w:val="none"/>
                <w:lang w:val="en-US" w:eastAsia="zh-CN" w:bidi="ar"/>
              </w:rPr>
            </w:pPr>
          </w:p>
          <w:p>
            <w:pPr>
              <w:pStyle w:val="2"/>
              <w:keepNext w:val="0"/>
              <w:keepLines w:val="0"/>
              <w:pageBreakBefore w:val="0"/>
              <w:widowControl/>
              <w:kinsoku/>
              <w:wordWrap/>
              <w:overflowPunct/>
              <w:topLinePunct/>
              <w:autoSpaceDE/>
              <w:autoSpaceDN/>
              <w:bidi w:val="0"/>
              <w:spacing w:before="0" w:after="0" w:line="540" w:lineRule="exact"/>
              <w:ind w:left="0" w:leftChars="0" w:right="0" w:firstLine="560" w:firstLineChars="200"/>
              <w:jc w:val="both"/>
              <w:rPr>
                <w:rFonts w:hint="eastAsia" w:ascii="仿宋_GB2312" w:hAnsi="仿宋_GB2312" w:eastAsia="仿宋_GB2312" w:cs="仿宋_GB2312"/>
                <w:b w:val="0"/>
                <w:bCs/>
                <w:color w:val="auto"/>
                <w:spacing w:val="0"/>
                <w:w w:val="100"/>
                <w:kern w:val="2"/>
                <w:position w:val="0"/>
                <w:sz w:val="28"/>
                <w:szCs w:val="28"/>
                <w:highlight w:val="none"/>
                <w:u w:val="none"/>
                <w:lang w:val="en-US" w:eastAsia="zh-CN" w:bidi="ar"/>
              </w:rPr>
            </w:pPr>
            <w:r>
              <w:rPr>
                <w:rFonts w:hint="eastAsia" w:ascii="仿宋_GB2312" w:hAnsi="仿宋_GB2312" w:eastAsia="仿宋_GB2312" w:cs="仿宋_GB2312"/>
                <w:b w:val="0"/>
                <w:bCs/>
                <w:color w:val="auto"/>
                <w:spacing w:val="0"/>
                <w:w w:val="100"/>
                <w:kern w:val="2"/>
                <w:position w:val="0"/>
                <w:sz w:val="28"/>
                <w:szCs w:val="28"/>
                <w:highlight w:val="none"/>
                <w:u w:val="none"/>
                <w:lang w:val="en-US" w:eastAsia="zh-CN" w:bidi="ar"/>
              </w:rPr>
              <w:t>第28页</w:t>
            </w:r>
          </w:p>
          <w:p>
            <w:pPr>
              <w:keepNext w:val="0"/>
              <w:keepLines w:val="0"/>
              <w:pageBreakBefore w:val="0"/>
              <w:widowControl/>
              <w:suppressLineNumbers w:val="0"/>
              <w:kinsoku/>
              <w:wordWrap/>
              <w:overflowPunct/>
              <w:topLinePunct/>
              <w:autoSpaceDE/>
              <w:autoSpaceDN/>
              <w:bidi w:val="0"/>
              <w:spacing w:before="0" w:beforeAutospacing="0" w:after="0" w:afterAutospacing="0" w:line="540" w:lineRule="exact"/>
              <w:ind w:left="0" w:leftChars="0" w:right="0" w:firstLine="560" w:firstLineChars="200"/>
              <w:jc w:val="both"/>
              <w:outlineLvl w:val="1"/>
              <w:rPr>
                <w:rFonts w:hint="eastAsia" w:ascii="仿宋_GB2312" w:hAnsi="仿宋_GB2312" w:eastAsia="仿宋_GB2312" w:cs="仿宋_GB2312"/>
                <w:b w:val="0"/>
                <w:bCs/>
                <w:color w:val="auto"/>
                <w:spacing w:val="0"/>
                <w:w w:val="100"/>
                <w:kern w:val="2"/>
                <w:position w:val="0"/>
                <w:sz w:val="28"/>
                <w:szCs w:val="28"/>
                <w:highlight w:val="none"/>
              </w:rPr>
            </w:pPr>
            <w:bookmarkStart w:id="15" w:name="_Toc22098"/>
            <w:r>
              <w:rPr>
                <w:rFonts w:hint="eastAsia" w:ascii="仿宋_GB2312" w:hAnsi="仿宋_GB2312" w:eastAsia="仿宋_GB2312" w:cs="仿宋_GB2312"/>
                <w:b w:val="0"/>
                <w:bCs/>
                <w:color w:val="auto"/>
                <w:spacing w:val="0"/>
                <w:w w:val="100"/>
                <w:kern w:val="2"/>
                <w:position w:val="0"/>
                <w:sz w:val="28"/>
                <w:szCs w:val="28"/>
                <w:highlight w:val="none"/>
                <w:lang w:val="en-US" w:eastAsia="zh-CN" w:bidi="ar"/>
              </w:rPr>
              <w:t>5.2基地与企业结合共建工程</w:t>
            </w:r>
            <w:bookmarkEnd w:id="15"/>
          </w:p>
          <w:p>
            <w:pPr>
              <w:keepNext w:val="0"/>
              <w:keepLines w:val="0"/>
              <w:pageBreakBefore w:val="0"/>
              <w:widowControl/>
              <w:suppressLineNumbers w:val="0"/>
              <w:kinsoku/>
              <w:wordWrap/>
              <w:overflowPunct/>
              <w:topLinePunct/>
              <w:autoSpaceDE/>
              <w:autoSpaceDN/>
              <w:bidi w:val="0"/>
              <w:spacing w:before="0" w:beforeAutospacing="0" w:after="0" w:afterAutospacing="0" w:line="540" w:lineRule="exact"/>
              <w:ind w:left="0" w:leftChars="0" w:right="0" w:firstLine="560" w:firstLineChars="200"/>
              <w:jc w:val="both"/>
              <w:rPr>
                <w:rFonts w:hint="eastAsia" w:ascii="仿宋_GB2312" w:hAnsi="仿宋_GB2312" w:eastAsia="仿宋_GB2312" w:cs="仿宋_GB2312"/>
                <w:b w:val="0"/>
                <w:bCs/>
                <w:color w:val="auto"/>
                <w:spacing w:val="0"/>
                <w:w w:val="100"/>
                <w:kern w:val="2"/>
                <w:position w:val="0"/>
                <w:sz w:val="28"/>
                <w:szCs w:val="28"/>
                <w:highlight w:val="none"/>
                <w:u w:val="single"/>
                <w:lang w:val="en-US" w:eastAsia="zh-CN" w:bidi="ar"/>
              </w:rPr>
            </w:pPr>
            <w:r>
              <w:rPr>
                <w:rFonts w:hint="eastAsia" w:ascii="仿宋_GB2312" w:hAnsi="仿宋_GB2312" w:eastAsia="仿宋_GB2312" w:cs="仿宋_GB2312"/>
                <w:b w:val="0"/>
                <w:bCs/>
                <w:color w:val="auto"/>
                <w:spacing w:val="0"/>
                <w:w w:val="100"/>
                <w:kern w:val="2"/>
                <w:position w:val="0"/>
                <w:sz w:val="28"/>
                <w:szCs w:val="28"/>
                <w:highlight w:val="none"/>
                <w:u w:val="single"/>
                <w:lang w:val="en-US" w:eastAsia="zh-CN" w:bidi="ar"/>
              </w:rPr>
              <w:t>以河南秋乐种业、金苑种业、北京顺鑫农科种业为龙头，联合高台先行种业等6家本地企业，建立制种产业联盟，将制种大县60%以上的资金用于优势企业在高台县的基地建设。</w:t>
            </w:r>
          </w:p>
          <w:p>
            <w:pPr>
              <w:pStyle w:val="2"/>
              <w:keepNext w:val="0"/>
              <w:keepLines w:val="0"/>
              <w:pageBreakBefore w:val="0"/>
              <w:widowControl/>
              <w:kinsoku/>
              <w:wordWrap/>
              <w:overflowPunct/>
              <w:topLinePunct/>
              <w:autoSpaceDE/>
              <w:autoSpaceDN/>
              <w:bidi w:val="0"/>
              <w:spacing w:before="0" w:after="0" w:line="540" w:lineRule="exact"/>
              <w:ind w:left="0" w:leftChars="0" w:right="0" w:firstLine="560" w:firstLineChars="200"/>
              <w:jc w:val="both"/>
              <w:rPr>
                <w:rFonts w:hint="eastAsia" w:ascii="仿宋_GB2312" w:hAnsi="仿宋_GB2312" w:eastAsia="仿宋_GB2312" w:cs="仿宋_GB2312"/>
                <w:b w:val="0"/>
                <w:bCs/>
                <w:color w:val="auto"/>
                <w:spacing w:val="0"/>
                <w:w w:val="100"/>
                <w:kern w:val="2"/>
                <w:position w:val="0"/>
                <w:sz w:val="28"/>
                <w:szCs w:val="28"/>
                <w:highlight w:val="none"/>
                <w:u w:val="none"/>
                <w:lang w:val="en-US" w:eastAsia="zh-CN" w:bidi="ar"/>
              </w:rPr>
            </w:pPr>
          </w:p>
          <w:p>
            <w:pPr>
              <w:pStyle w:val="2"/>
              <w:keepNext w:val="0"/>
              <w:keepLines w:val="0"/>
              <w:pageBreakBefore w:val="0"/>
              <w:widowControl/>
              <w:kinsoku/>
              <w:wordWrap/>
              <w:overflowPunct/>
              <w:topLinePunct/>
              <w:autoSpaceDE/>
              <w:autoSpaceDN/>
              <w:bidi w:val="0"/>
              <w:spacing w:before="0" w:after="0" w:line="540" w:lineRule="exact"/>
              <w:ind w:left="0" w:leftChars="0" w:right="0" w:firstLine="560" w:firstLineChars="200"/>
              <w:jc w:val="both"/>
              <w:rPr>
                <w:rFonts w:hint="eastAsia" w:ascii="仿宋_GB2312" w:hAnsi="仿宋_GB2312" w:eastAsia="仿宋_GB2312" w:cs="仿宋_GB2312"/>
                <w:b w:val="0"/>
                <w:bCs/>
                <w:color w:val="auto"/>
                <w:spacing w:val="0"/>
                <w:w w:val="100"/>
                <w:kern w:val="2"/>
                <w:position w:val="0"/>
                <w:sz w:val="28"/>
                <w:szCs w:val="28"/>
                <w:highlight w:val="none"/>
                <w:u w:val="none"/>
                <w:lang w:val="en-US" w:eastAsia="zh-CN" w:bidi="ar"/>
              </w:rPr>
            </w:pPr>
          </w:p>
          <w:p>
            <w:pPr>
              <w:pStyle w:val="2"/>
              <w:keepNext w:val="0"/>
              <w:keepLines w:val="0"/>
              <w:pageBreakBefore w:val="0"/>
              <w:widowControl/>
              <w:kinsoku/>
              <w:wordWrap/>
              <w:overflowPunct/>
              <w:topLinePunct/>
              <w:autoSpaceDE/>
              <w:autoSpaceDN/>
              <w:bidi w:val="0"/>
              <w:spacing w:before="0" w:after="0" w:line="540" w:lineRule="exact"/>
              <w:ind w:left="0" w:leftChars="0" w:right="0" w:firstLine="560" w:firstLineChars="200"/>
              <w:jc w:val="both"/>
              <w:rPr>
                <w:rFonts w:hint="eastAsia" w:ascii="仿宋_GB2312" w:hAnsi="仿宋_GB2312" w:eastAsia="仿宋_GB2312" w:cs="仿宋_GB2312"/>
                <w:b w:val="0"/>
                <w:bCs/>
                <w:color w:val="auto"/>
                <w:spacing w:val="0"/>
                <w:w w:val="100"/>
                <w:kern w:val="2"/>
                <w:position w:val="0"/>
                <w:sz w:val="28"/>
                <w:szCs w:val="28"/>
                <w:highlight w:val="none"/>
                <w:u w:val="none"/>
                <w:lang w:val="en-US" w:eastAsia="zh-CN" w:bidi="ar"/>
              </w:rPr>
            </w:pPr>
            <w:r>
              <w:rPr>
                <w:rFonts w:hint="eastAsia" w:ascii="仿宋_GB2312" w:hAnsi="仿宋_GB2312" w:eastAsia="仿宋_GB2312" w:cs="仿宋_GB2312"/>
                <w:b w:val="0"/>
                <w:bCs/>
                <w:color w:val="auto"/>
                <w:spacing w:val="0"/>
                <w:w w:val="100"/>
                <w:kern w:val="2"/>
                <w:position w:val="0"/>
                <w:sz w:val="28"/>
                <w:szCs w:val="28"/>
                <w:highlight w:val="none"/>
                <w:u w:val="none"/>
                <w:lang w:val="en-US" w:eastAsia="zh-CN" w:bidi="ar"/>
              </w:rPr>
              <w:t>第31页</w:t>
            </w:r>
          </w:p>
          <w:p>
            <w:pPr>
              <w:keepNext w:val="0"/>
              <w:keepLines w:val="0"/>
              <w:pageBreakBefore w:val="0"/>
              <w:widowControl/>
              <w:suppressLineNumbers w:val="0"/>
              <w:kinsoku/>
              <w:wordWrap/>
              <w:overflowPunct/>
              <w:topLinePunct/>
              <w:autoSpaceDE/>
              <w:autoSpaceDN/>
              <w:bidi w:val="0"/>
              <w:spacing w:before="0" w:beforeAutospacing="0" w:after="0" w:afterAutospacing="0" w:line="540" w:lineRule="exact"/>
              <w:ind w:left="0" w:leftChars="0" w:right="0" w:firstLine="560" w:firstLineChars="200"/>
              <w:jc w:val="both"/>
              <w:outlineLvl w:val="2"/>
              <w:rPr>
                <w:rFonts w:hint="eastAsia" w:ascii="仿宋_GB2312" w:hAnsi="仿宋_GB2312" w:eastAsia="仿宋_GB2312" w:cs="仿宋_GB2312"/>
                <w:b w:val="0"/>
                <w:bCs/>
                <w:color w:val="auto"/>
                <w:spacing w:val="0"/>
                <w:w w:val="100"/>
                <w:kern w:val="2"/>
                <w:position w:val="0"/>
                <w:sz w:val="28"/>
                <w:szCs w:val="28"/>
                <w:highlight w:val="none"/>
              </w:rPr>
            </w:pPr>
            <w:r>
              <w:rPr>
                <w:rFonts w:hint="eastAsia" w:ascii="仿宋_GB2312" w:hAnsi="仿宋_GB2312" w:eastAsia="仿宋_GB2312" w:cs="仿宋_GB2312"/>
                <w:b w:val="0"/>
                <w:bCs/>
                <w:color w:val="auto"/>
                <w:spacing w:val="0"/>
                <w:w w:val="100"/>
                <w:kern w:val="2"/>
                <w:position w:val="0"/>
                <w:sz w:val="28"/>
                <w:szCs w:val="28"/>
                <w:highlight w:val="none"/>
                <w:lang w:val="en-US" w:eastAsia="zh-CN" w:bidi="ar"/>
              </w:rPr>
              <w:t>5.3.1杂交玉米新品种研发补贴项目</w:t>
            </w:r>
          </w:p>
          <w:p>
            <w:pPr>
              <w:pStyle w:val="12"/>
              <w:keepNext w:val="0"/>
              <w:keepLines w:val="0"/>
              <w:pageBreakBefore w:val="0"/>
              <w:widowControl/>
              <w:suppressLineNumbers w:val="0"/>
              <w:kinsoku/>
              <w:wordWrap/>
              <w:overflowPunct/>
              <w:topLinePunct/>
              <w:autoSpaceDE/>
              <w:autoSpaceDN/>
              <w:bidi w:val="0"/>
              <w:spacing w:before="0" w:beforeAutospacing="0" w:after="0" w:afterAutospacing="0" w:line="540" w:lineRule="exact"/>
              <w:ind w:left="0" w:leftChars="0" w:right="0" w:firstLine="560" w:firstLineChars="200"/>
              <w:jc w:val="both"/>
              <w:rPr>
                <w:rFonts w:hint="eastAsia" w:ascii="仿宋_GB2312" w:hAnsi="仿宋_GB2312" w:eastAsia="仿宋_GB2312" w:cs="仿宋_GB2312"/>
                <w:b w:val="0"/>
                <w:bCs/>
                <w:color w:val="auto"/>
                <w:spacing w:val="0"/>
                <w:w w:val="100"/>
                <w:kern w:val="2"/>
                <w:position w:val="0"/>
                <w:sz w:val="28"/>
                <w:szCs w:val="28"/>
                <w:highlight w:val="none"/>
                <w:lang w:val="en-US" w:eastAsia="zh-CN" w:bidi="ar"/>
              </w:rPr>
            </w:pPr>
            <w:r>
              <w:rPr>
                <w:rFonts w:hint="eastAsia" w:ascii="仿宋_GB2312" w:hAnsi="仿宋_GB2312" w:eastAsia="仿宋_GB2312" w:cs="仿宋_GB2312"/>
                <w:b w:val="0"/>
                <w:bCs/>
                <w:color w:val="auto"/>
                <w:spacing w:val="0"/>
                <w:w w:val="100"/>
                <w:kern w:val="2"/>
                <w:position w:val="0"/>
                <w:sz w:val="28"/>
                <w:szCs w:val="28"/>
                <w:highlight w:val="none"/>
                <w:u w:val="single"/>
                <w:lang w:val="en-US" w:eastAsia="zh-CN" w:bidi="ar"/>
              </w:rPr>
              <w:t>对在高台县建厂、研发新品种的企业，对当年审定的国审品种、省审品种补贴。对一个品种的几个共同知识产权人或品种权共同享有权人按排名计，不在本地的不补，区别对待</w:t>
            </w:r>
            <w:r>
              <w:rPr>
                <w:rFonts w:hint="eastAsia" w:ascii="仿宋_GB2312" w:hAnsi="仿宋_GB2312" w:eastAsia="仿宋_GB2312" w:cs="仿宋_GB2312"/>
                <w:b w:val="0"/>
                <w:bCs/>
                <w:color w:val="auto"/>
                <w:spacing w:val="0"/>
                <w:w w:val="100"/>
                <w:kern w:val="2"/>
                <w:position w:val="0"/>
                <w:sz w:val="28"/>
                <w:szCs w:val="28"/>
                <w:highlight w:val="none"/>
                <w:lang w:val="en-US" w:eastAsia="zh-CN" w:bidi="ar"/>
              </w:rPr>
              <w:t>。对超过一人有两个知识产权人的按60%和40%比例奖励，有三个知识产权人的按50%，30%，20%比例奖励，只奖励前三名。</w:t>
            </w:r>
          </w:p>
          <w:p>
            <w:pPr>
              <w:pStyle w:val="12"/>
              <w:keepNext w:val="0"/>
              <w:keepLines w:val="0"/>
              <w:pageBreakBefore w:val="0"/>
              <w:widowControl/>
              <w:suppressLineNumbers w:val="0"/>
              <w:kinsoku/>
              <w:wordWrap/>
              <w:overflowPunct/>
              <w:topLinePunct/>
              <w:autoSpaceDE/>
              <w:autoSpaceDN/>
              <w:bidi w:val="0"/>
              <w:spacing w:before="0" w:beforeAutospacing="0" w:after="0" w:afterAutospacing="0" w:line="540" w:lineRule="exact"/>
              <w:ind w:left="0" w:leftChars="0" w:right="0" w:firstLine="560" w:firstLineChars="200"/>
              <w:jc w:val="both"/>
              <w:rPr>
                <w:rFonts w:hint="eastAsia" w:ascii="仿宋_GB2312" w:hAnsi="仿宋_GB2312" w:eastAsia="仿宋_GB2312" w:cs="仿宋_GB2312"/>
                <w:b w:val="0"/>
                <w:bCs/>
                <w:color w:val="auto"/>
                <w:spacing w:val="0"/>
                <w:w w:val="100"/>
                <w:kern w:val="2"/>
                <w:position w:val="0"/>
                <w:sz w:val="30"/>
                <w:szCs w:val="30"/>
                <w:highlight w:val="none"/>
                <w:lang w:val="en-US" w:eastAsia="zh-CN" w:bidi="ar"/>
              </w:rPr>
            </w:pPr>
            <w:r>
              <w:rPr>
                <w:rFonts w:hint="eastAsia" w:ascii="仿宋_GB2312" w:hAnsi="仿宋_GB2312" w:eastAsia="仿宋_GB2312" w:cs="仿宋_GB2312"/>
                <w:b w:val="0"/>
                <w:bCs/>
                <w:color w:val="auto"/>
                <w:spacing w:val="0"/>
                <w:w w:val="100"/>
                <w:kern w:val="2"/>
                <w:position w:val="0"/>
                <w:sz w:val="28"/>
                <w:szCs w:val="28"/>
                <w:highlight w:val="none"/>
                <w:lang w:val="en-US" w:eastAsia="zh-CN" w:bidi="ar"/>
              </w:rPr>
              <w:t>（等等……）</w:t>
            </w:r>
          </w:p>
        </w:tc>
      </w:tr>
    </w:tbl>
    <w:p>
      <w:pPr>
        <w:keepNext w:val="0"/>
        <w:keepLines w:val="0"/>
        <w:pageBreakBefore w:val="0"/>
        <w:widowControl/>
        <w:suppressLineNumbers w:val="0"/>
        <w:kinsoku/>
        <w:wordWrap/>
        <w:overflowPunct/>
        <w:topLinePunct/>
        <w:autoSpaceDE/>
        <w:autoSpaceDN/>
        <w:bidi w:val="0"/>
        <w:spacing w:beforeAutospacing="0" w:afterAutospacing="0" w:line="540" w:lineRule="exact"/>
        <w:ind w:left="0" w:leftChars="0" w:right="0" w:firstLine="640" w:firstLineChars="200"/>
        <w:jc w:val="both"/>
        <w:rPr>
          <w:rFonts w:hint="eastAsia" w:ascii="仿宋_GB2312" w:hAnsi="仿宋_GB2312" w:eastAsia="仿宋_GB2312" w:cs="仿宋_GB2312"/>
          <w:b w:val="0"/>
          <w:bCs/>
          <w:color w:val="auto"/>
          <w:spacing w:val="0"/>
          <w:w w:val="100"/>
          <w:kern w:val="2"/>
          <w:position w:val="0"/>
          <w:sz w:val="32"/>
          <w:szCs w:val="32"/>
          <w:lang w:val="en-US" w:eastAsia="zh-CN" w:bidi="ar"/>
        </w:rPr>
      </w:pPr>
      <w:r>
        <w:rPr>
          <w:rFonts w:hint="eastAsia" w:ascii="仿宋_GB2312" w:hAnsi="仿宋_GB2312" w:eastAsia="仿宋_GB2312" w:cs="仿宋_GB2312"/>
          <w:b w:val="0"/>
          <w:bCs/>
          <w:color w:val="auto"/>
          <w:spacing w:val="0"/>
          <w:w w:val="100"/>
          <w:kern w:val="2"/>
          <w:position w:val="0"/>
          <w:sz w:val="32"/>
          <w:szCs w:val="32"/>
          <w:lang w:val="en-US" w:eastAsia="zh-CN" w:bidi="ar"/>
        </w:rPr>
        <w:t>b.剖析论证</w:t>
      </w:r>
    </w:p>
    <w:p>
      <w:pPr>
        <w:keepNext w:val="0"/>
        <w:keepLines w:val="0"/>
        <w:pageBreakBefore w:val="0"/>
        <w:widowControl/>
        <w:suppressLineNumbers w:val="0"/>
        <w:kinsoku/>
        <w:wordWrap/>
        <w:overflowPunct/>
        <w:topLinePunct/>
        <w:autoSpaceDE/>
        <w:autoSpaceDN/>
        <w:bidi w:val="0"/>
        <w:spacing w:beforeAutospacing="0" w:afterAutospacing="0" w:line="540" w:lineRule="exact"/>
        <w:ind w:left="0" w:leftChars="0" w:right="0" w:firstLine="640" w:firstLineChars="200"/>
        <w:jc w:val="both"/>
        <w:rPr>
          <w:rFonts w:hint="eastAsia" w:ascii="仿宋_GB2312" w:hAnsi="仿宋_GB2312" w:eastAsia="仿宋_GB2312" w:cs="仿宋_GB2312"/>
          <w:b w:val="0"/>
          <w:bCs/>
          <w:color w:val="auto"/>
          <w:spacing w:val="0"/>
          <w:w w:val="100"/>
          <w:kern w:val="2"/>
          <w:position w:val="0"/>
          <w:sz w:val="32"/>
          <w:szCs w:val="32"/>
          <w:lang w:val="en-US" w:eastAsia="zh-CN" w:bidi="ar"/>
        </w:rPr>
      </w:pPr>
      <w:r>
        <w:rPr>
          <w:rFonts w:hint="eastAsia" w:ascii="仿宋_GB2312" w:hAnsi="仿宋_GB2312" w:eastAsia="仿宋_GB2312" w:cs="仿宋_GB2312"/>
          <w:b w:val="0"/>
          <w:bCs/>
          <w:color w:val="auto"/>
          <w:spacing w:val="0"/>
          <w:w w:val="100"/>
          <w:kern w:val="2"/>
          <w:position w:val="0"/>
          <w:sz w:val="32"/>
          <w:szCs w:val="32"/>
          <w:lang w:val="en-US" w:eastAsia="zh-CN" w:bidi="ar"/>
        </w:rPr>
        <w:t>1、文件内容违反《公平竞争审查制度实施细则》“第十五条影响生产经营成本标准（一）不得违法给予特定经营者优惠政策、包括但不限于：1.没有法律、行政法规或者国务院规定依据，给予特定经营者财政奖励和补贴”的规定。</w:t>
      </w:r>
    </w:p>
    <w:p>
      <w:pPr>
        <w:keepNext w:val="0"/>
        <w:keepLines w:val="0"/>
        <w:pageBreakBefore w:val="0"/>
        <w:widowControl/>
        <w:suppressLineNumbers w:val="0"/>
        <w:kinsoku/>
        <w:wordWrap/>
        <w:overflowPunct/>
        <w:topLinePunct/>
        <w:autoSpaceDE/>
        <w:autoSpaceDN/>
        <w:bidi w:val="0"/>
        <w:spacing w:beforeAutospacing="0" w:afterAutospacing="0" w:line="540" w:lineRule="exact"/>
        <w:ind w:left="0" w:leftChars="0" w:right="0" w:firstLine="640" w:firstLineChars="200"/>
        <w:jc w:val="both"/>
        <w:rPr>
          <w:rFonts w:hint="eastAsia" w:ascii="仿宋_GB2312" w:hAnsi="仿宋_GB2312" w:eastAsia="仿宋_GB2312" w:cs="仿宋_GB2312"/>
          <w:b w:val="0"/>
          <w:bCs/>
          <w:color w:val="auto"/>
          <w:spacing w:val="0"/>
          <w:w w:val="100"/>
          <w:kern w:val="2"/>
          <w:position w:val="0"/>
          <w:sz w:val="32"/>
          <w:szCs w:val="32"/>
          <w:lang w:val="en-US" w:eastAsia="zh-CN" w:bidi="ar"/>
        </w:rPr>
      </w:pPr>
      <w:r>
        <w:rPr>
          <w:rFonts w:hint="eastAsia" w:ascii="仿宋_GB2312" w:hAnsi="仿宋_GB2312" w:eastAsia="仿宋_GB2312" w:cs="仿宋_GB2312"/>
          <w:b w:val="0"/>
          <w:bCs/>
          <w:color w:val="auto"/>
          <w:spacing w:val="0"/>
          <w:w w:val="100"/>
          <w:kern w:val="2"/>
          <w:position w:val="0"/>
          <w:sz w:val="32"/>
          <w:szCs w:val="32"/>
          <w:lang w:val="en-US" w:eastAsia="zh-CN" w:bidi="ar"/>
        </w:rPr>
        <w:t>2、违反《公平竞争审查制度实施细则》“第十四条商品要素自由流动标准”的规定，不得对外地和进口商品、服务实行歧视性价格和歧视性补贴政策，包括但不限于：2、对相关商品、服务补贴时，对外地同类商品、服务、国际经贸协定允许外的进口同类商品以及我国作出国际承诺的和进口同类服务不予补贴或者给予较低补贴”的规定。</w:t>
      </w:r>
    </w:p>
    <w:p>
      <w:pPr>
        <w:keepNext w:val="0"/>
        <w:keepLines w:val="0"/>
        <w:pageBreakBefore w:val="0"/>
        <w:widowControl/>
        <w:suppressLineNumbers w:val="0"/>
        <w:kinsoku/>
        <w:wordWrap/>
        <w:overflowPunct/>
        <w:topLinePunct/>
        <w:autoSpaceDE/>
        <w:autoSpaceDN/>
        <w:bidi w:val="0"/>
        <w:spacing w:beforeAutospacing="0" w:afterAutospacing="0" w:line="540" w:lineRule="exact"/>
        <w:ind w:left="0" w:leftChars="0" w:right="0" w:firstLine="600" w:firstLineChars="200"/>
        <w:jc w:val="both"/>
        <w:outlineLvl w:val="1"/>
        <w:rPr>
          <w:rFonts w:hint="eastAsia" w:ascii="楷体_GB2312" w:hAnsi="楷体_GB2312" w:eastAsia="楷体_GB2312" w:cs="楷体_GB2312"/>
          <w:b w:val="0"/>
          <w:bCs/>
          <w:color w:val="auto"/>
          <w:spacing w:val="0"/>
          <w:w w:val="100"/>
          <w:kern w:val="2"/>
          <w:position w:val="0"/>
          <w:sz w:val="30"/>
          <w:szCs w:val="30"/>
          <w:highlight w:val="none"/>
          <w:lang w:val="en-US" w:eastAsia="zh-CN" w:bidi="ar"/>
        </w:rPr>
      </w:pPr>
      <w:bookmarkStart w:id="16" w:name="_Toc22386"/>
      <w:r>
        <w:rPr>
          <w:rFonts w:hint="eastAsia" w:ascii="楷体_GB2312" w:hAnsi="楷体_GB2312" w:eastAsia="楷体_GB2312" w:cs="楷体_GB2312"/>
          <w:b w:val="0"/>
          <w:bCs/>
          <w:color w:val="auto"/>
          <w:spacing w:val="0"/>
          <w:w w:val="100"/>
          <w:position w:val="0"/>
          <w:sz w:val="30"/>
          <w:szCs w:val="30"/>
          <w:lang w:eastAsia="zh-CN"/>
        </w:rPr>
        <w:t>（六）</w:t>
      </w:r>
      <w:r>
        <w:rPr>
          <w:rFonts w:hint="eastAsia" w:ascii="楷体_GB2312" w:hAnsi="楷体_GB2312" w:eastAsia="楷体_GB2312" w:cs="楷体_GB2312"/>
          <w:b w:val="0"/>
          <w:bCs/>
          <w:color w:val="auto"/>
          <w:spacing w:val="0"/>
          <w:w w:val="100"/>
          <w:kern w:val="2"/>
          <w:position w:val="0"/>
          <w:sz w:val="30"/>
          <w:szCs w:val="30"/>
          <w:highlight w:val="none"/>
          <w:lang w:val="en-US" w:eastAsia="zh-CN" w:bidi="ar"/>
        </w:rPr>
        <w:t>《高台县2021年制种大县（玉米）奖励政策实施方案》（高</w:t>
      </w:r>
      <w:r>
        <w:rPr>
          <w:rFonts w:hint="eastAsia" w:ascii="楷体_GB2312" w:hAnsi="楷体_GB2312" w:eastAsia="楷体_GB2312" w:cs="楷体_GB2312"/>
          <w:b w:val="0"/>
          <w:bCs/>
          <w:color w:val="auto"/>
          <w:spacing w:val="0"/>
          <w:w w:val="100"/>
          <w:kern w:val="2"/>
          <w:position w:val="0"/>
          <w:sz w:val="30"/>
          <w:szCs w:val="30"/>
          <w:highlight w:val="none"/>
          <w:lang w:eastAsia="zh-CN" w:bidi="ar"/>
        </w:rPr>
        <w:t>政</w:t>
      </w:r>
      <w:r>
        <w:rPr>
          <w:rFonts w:hint="eastAsia" w:ascii="楷体_GB2312" w:hAnsi="楷体_GB2312" w:eastAsia="楷体_GB2312" w:cs="楷体_GB2312"/>
          <w:b w:val="0"/>
          <w:bCs/>
          <w:color w:val="auto"/>
          <w:spacing w:val="0"/>
          <w:w w:val="100"/>
          <w:kern w:val="2"/>
          <w:position w:val="0"/>
          <w:sz w:val="30"/>
          <w:szCs w:val="30"/>
          <w:highlight w:val="none"/>
          <w:lang w:val="en-US" w:eastAsia="zh-CN" w:bidi="ar"/>
        </w:rPr>
        <w:t>发[2021]37号）</w:t>
      </w:r>
      <w:bookmarkEnd w:id="16"/>
    </w:p>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00" w:firstLineChars="200"/>
        <w:jc w:val="both"/>
        <w:textAlignment w:val="baseline"/>
        <w:rPr>
          <w:rFonts w:hint="eastAsia" w:ascii="仿宋_GB2312" w:hAnsi="仿宋_GB2312" w:eastAsia="仿宋_GB2312" w:cs="仿宋_GB2312"/>
          <w:b w:val="0"/>
          <w:bCs/>
          <w:color w:val="auto"/>
          <w:spacing w:val="0"/>
          <w:w w:val="100"/>
          <w:kern w:val="0"/>
          <w:position w:val="0"/>
          <w:sz w:val="30"/>
          <w:szCs w:val="30"/>
          <w:highlight w:val="none"/>
          <w:vertAlign w:val="baseline"/>
        </w:rPr>
      </w:pPr>
      <w:r>
        <w:rPr>
          <w:rFonts w:hint="eastAsia" w:ascii="仿宋_GB2312" w:hAnsi="仿宋_GB2312" w:eastAsia="仿宋_GB2312" w:cs="仿宋_GB2312"/>
          <w:b w:val="0"/>
          <w:bCs/>
          <w:color w:val="auto"/>
          <w:spacing w:val="0"/>
          <w:w w:val="100"/>
          <w:kern w:val="0"/>
          <w:position w:val="0"/>
          <w:sz w:val="30"/>
          <w:szCs w:val="30"/>
          <w:highlight w:val="none"/>
          <w:vertAlign w:val="baseline"/>
          <w:lang w:val="en-US" w:eastAsia="zh-CN" w:bidi="ar"/>
        </w:rPr>
        <w:t>a.问题内容条款</w:t>
      </w:r>
    </w:p>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00" w:firstLineChars="200"/>
        <w:jc w:val="both"/>
        <w:textAlignment w:val="baseline"/>
        <w:rPr>
          <w:rFonts w:hint="eastAsia" w:ascii="仿宋_GB2312" w:hAnsi="仿宋_GB2312" w:eastAsia="仿宋_GB2312" w:cs="仿宋_GB2312"/>
          <w:b w:val="0"/>
          <w:bCs/>
          <w:color w:val="auto"/>
          <w:spacing w:val="0"/>
          <w:w w:val="100"/>
          <w:kern w:val="0"/>
          <w:position w:val="0"/>
          <w:sz w:val="30"/>
          <w:szCs w:val="30"/>
          <w:highlight w:val="none"/>
          <w:vertAlign w:val="baseline"/>
        </w:rPr>
      </w:pPr>
    </w:p>
    <w:tbl>
      <w:tblPr>
        <w:tblStyle w:val="18"/>
        <w:tblW w:w="5000" w:type="pct"/>
        <w:tblInd w:w="0" w:type="dxa"/>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865"/>
      </w:tblGrid>
      <w:tr>
        <w:tblPrEx>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CellMar>
            <w:top w:w="0" w:type="dxa"/>
            <w:left w:w="0" w:type="dxa"/>
            <w:bottom w:w="0" w:type="dxa"/>
            <w:right w:w="0" w:type="dxa"/>
          </w:tblCellMar>
        </w:tblPrEx>
        <w:trPr>
          <w:trHeight w:val="711" w:hRule="atLeast"/>
        </w:trPr>
        <w:tc>
          <w:tcPr>
            <w:tcW w:w="5000" w:type="pct"/>
            <w:tcBorders>
              <w:top w:val="single" w:color="000000" w:sz="8" w:space="0"/>
              <w:left w:val="single" w:color="000000" w:sz="8" w:space="0"/>
              <w:bottom w:val="single" w:color="000000" w:sz="8" w:space="0"/>
              <w:right w:val="single" w:color="000000" w:sz="8" w:space="0"/>
            </w:tcBorders>
            <w:shd w:val="clear" w:color="auto" w:fill="auto"/>
            <w:vAlign w:val="top"/>
          </w:tcPr>
          <w:p>
            <w:pPr>
              <w:pStyle w:val="12"/>
              <w:keepNext w:val="0"/>
              <w:keepLines w:val="0"/>
              <w:pageBreakBefore w:val="0"/>
              <w:widowControl/>
              <w:suppressLineNumbers w:val="0"/>
              <w:kinsoku/>
              <w:wordWrap/>
              <w:overflowPunct/>
              <w:topLinePunct/>
              <w:autoSpaceDE/>
              <w:autoSpaceDN/>
              <w:bidi w:val="0"/>
              <w:spacing w:before="0" w:beforeAutospacing="0" w:after="0" w:afterAutospacing="0" w:line="540" w:lineRule="exact"/>
              <w:ind w:left="0" w:leftChars="0" w:right="0" w:firstLine="560" w:firstLineChars="200"/>
              <w:jc w:val="both"/>
              <w:rPr>
                <w:rFonts w:hint="eastAsia" w:ascii="仿宋_GB2312" w:hAnsi="仿宋_GB2312" w:eastAsia="仿宋_GB2312" w:cs="仿宋_GB2312"/>
                <w:b w:val="0"/>
                <w:bCs/>
                <w:color w:val="auto"/>
                <w:spacing w:val="0"/>
                <w:w w:val="100"/>
                <w:kern w:val="2"/>
                <w:position w:val="0"/>
                <w:sz w:val="28"/>
                <w:szCs w:val="28"/>
                <w:highlight w:val="none"/>
                <w:lang w:val="en-US" w:eastAsia="zh-CN" w:bidi="ar"/>
              </w:rPr>
            </w:pPr>
            <w:r>
              <w:rPr>
                <w:rFonts w:hint="eastAsia" w:ascii="仿宋_GB2312" w:hAnsi="仿宋_GB2312" w:eastAsia="仿宋_GB2312" w:cs="仿宋_GB2312"/>
                <w:b w:val="0"/>
                <w:bCs/>
                <w:color w:val="auto"/>
                <w:spacing w:val="0"/>
                <w:w w:val="100"/>
                <w:kern w:val="2"/>
                <w:position w:val="0"/>
                <w:sz w:val="28"/>
                <w:szCs w:val="28"/>
                <w:highlight w:val="none"/>
                <w:lang w:val="en-US" w:eastAsia="zh-CN" w:bidi="ar"/>
              </w:rPr>
              <w:t>（二）基地与企业结合共建工程。总投资3135万元，其中：奖励资金2115万元，整合项目资金及撬动社会自筹1020万元。1.安排制种大县奖励资金1500万元，实施县企共建制种基地水肥一体化建设项目，整合项目资金和撬动社会资金920万元，通过县企共建制种基地，</w:t>
            </w:r>
            <w:r>
              <w:rPr>
                <w:rFonts w:hint="eastAsia" w:ascii="仿宋_GB2312" w:hAnsi="仿宋_GB2312" w:eastAsia="仿宋_GB2312" w:cs="仿宋_GB2312"/>
                <w:b w:val="0"/>
                <w:bCs/>
                <w:color w:val="auto"/>
                <w:spacing w:val="0"/>
                <w:w w:val="100"/>
                <w:kern w:val="2"/>
                <w:position w:val="0"/>
                <w:sz w:val="28"/>
                <w:szCs w:val="28"/>
                <w:highlight w:val="none"/>
                <w:u w:val="single"/>
                <w:lang w:val="en-US" w:eastAsia="zh-CN" w:bidi="ar"/>
              </w:rPr>
              <w:t>支持河南秋乐种业、金苑种业、北京顺鑫农科种业、先行种业、大康种业、高鑫种业、隆丰祥种业等实力雄厚的种子加工生产企业</w:t>
            </w:r>
            <w:r>
              <w:rPr>
                <w:rFonts w:hint="eastAsia" w:ascii="仿宋_GB2312" w:hAnsi="仿宋_GB2312" w:eastAsia="仿宋_GB2312" w:cs="仿宋_GB2312"/>
                <w:b w:val="0"/>
                <w:bCs/>
                <w:color w:val="auto"/>
                <w:spacing w:val="0"/>
                <w:w w:val="100"/>
                <w:kern w:val="2"/>
                <w:position w:val="0"/>
                <w:sz w:val="28"/>
                <w:szCs w:val="28"/>
                <w:highlight w:val="none"/>
                <w:lang w:val="en-US" w:eastAsia="zh-CN" w:bidi="ar"/>
              </w:rPr>
              <w:t>运用水肥一体化措施、有机肥替代化肥、土壤深松、废旧农膜回收、病虫害统防统治等技术改良1万亩种子基地土壤盐碱化试点工作，改良耕地质量，不断改善农业生产环境</w:t>
            </w:r>
          </w:p>
        </w:tc>
      </w:tr>
    </w:tbl>
    <w:p>
      <w:pPr>
        <w:keepNext w:val="0"/>
        <w:keepLines w:val="0"/>
        <w:pageBreakBefore w:val="0"/>
        <w:widowControl/>
        <w:suppressLineNumbers w:val="0"/>
        <w:kinsoku/>
        <w:wordWrap/>
        <w:overflowPunct/>
        <w:topLinePunct/>
        <w:autoSpaceDE/>
        <w:autoSpaceDN/>
        <w:bidi w:val="0"/>
        <w:spacing w:beforeAutospacing="0" w:afterAutospacing="0" w:line="540" w:lineRule="exact"/>
        <w:ind w:left="0" w:leftChars="0" w:right="0" w:firstLine="640" w:firstLineChars="200"/>
        <w:jc w:val="both"/>
        <w:rPr>
          <w:rFonts w:hint="eastAsia" w:ascii="仿宋_GB2312" w:hAnsi="仿宋_GB2312" w:eastAsia="仿宋_GB2312" w:cs="仿宋_GB2312"/>
          <w:b w:val="0"/>
          <w:bCs/>
          <w:color w:val="auto"/>
          <w:spacing w:val="0"/>
          <w:w w:val="100"/>
          <w:kern w:val="2"/>
          <w:position w:val="0"/>
          <w:sz w:val="32"/>
          <w:szCs w:val="32"/>
          <w:lang w:val="en-US" w:eastAsia="zh-CN" w:bidi="ar"/>
        </w:rPr>
      </w:pPr>
      <w:r>
        <w:rPr>
          <w:rFonts w:hint="eastAsia" w:ascii="仿宋_GB2312" w:hAnsi="仿宋_GB2312" w:eastAsia="仿宋_GB2312" w:cs="仿宋_GB2312"/>
          <w:b w:val="0"/>
          <w:bCs/>
          <w:color w:val="auto"/>
          <w:spacing w:val="0"/>
          <w:w w:val="100"/>
          <w:kern w:val="2"/>
          <w:position w:val="0"/>
          <w:sz w:val="32"/>
          <w:szCs w:val="32"/>
          <w:lang w:val="en-US" w:eastAsia="zh-CN" w:bidi="ar"/>
        </w:rPr>
        <w:t>b.剖析论证</w:t>
      </w:r>
    </w:p>
    <w:p>
      <w:pPr>
        <w:keepNext w:val="0"/>
        <w:keepLines w:val="0"/>
        <w:pageBreakBefore w:val="0"/>
        <w:widowControl/>
        <w:suppressLineNumbers w:val="0"/>
        <w:kinsoku/>
        <w:wordWrap/>
        <w:overflowPunct/>
        <w:topLinePunct/>
        <w:autoSpaceDE/>
        <w:autoSpaceDN/>
        <w:bidi w:val="0"/>
        <w:spacing w:beforeAutospacing="0" w:afterAutospacing="0" w:line="540" w:lineRule="exact"/>
        <w:ind w:left="0" w:leftChars="0" w:right="0" w:firstLine="640" w:firstLineChars="200"/>
        <w:jc w:val="both"/>
        <w:rPr>
          <w:rFonts w:hint="eastAsia" w:ascii="仿宋_GB2312" w:hAnsi="仿宋_GB2312" w:eastAsia="仿宋_GB2312" w:cs="仿宋_GB2312"/>
          <w:b w:val="0"/>
          <w:bCs/>
          <w:color w:val="auto"/>
          <w:spacing w:val="0"/>
          <w:w w:val="100"/>
          <w:kern w:val="2"/>
          <w:position w:val="0"/>
          <w:sz w:val="32"/>
          <w:szCs w:val="32"/>
          <w:lang w:val="en-US" w:eastAsia="zh-CN" w:bidi="ar"/>
        </w:rPr>
      </w:pPr>
      <w:r>
        <w:rPr>
          <w:rFonts w:hint="eastAsia" w:ascii="仿宋_GB2312" w:hAnsi="仿宋_GB2312" w:eastAsia="仿宋_GB2312" w:cs="仿宋_GB2312"/>
          <w:b w:val="0"/>
          <w:bCs/>
          <w:color w:val="auto"/>
          <w:spacing w:val="0"/>
          <w:w w:val="100"/>
          <w:kern w:val="2"/>
          <w:position w:val="0"/>
          <w:sz w:val="32"/>
          <w:szCs w:val="32"/>
          <w:lang w:val="en-US" w:eastAsia="zh-CN" w:bidi="ar"/>
        </w:rPr>
        <w:t>文件内容违反《公平竞争审查制度实施细则》“第十五条影响生产经营成本标准（一）不得违法给予特定经营者优惠政策、包括但不限于：1.没有法律、行政法规或者国务院规定依据，给予特定经营者财政奖励和补贴”的规定。</w:t>
      </w:r>
    </w:p>
    <w:p>
      <w:pPr>
        <w:keepNext w:val="0"/>
        <w:keepLines w:val="0"/>
        <w:pageBreakBefore w:val="0"/>
        <w:widowControl/>
        <w:suppressLineNumbers w:val="0"/>
        <w:kinsoku/>
        <w:wordWrap/>
        <w:overflowPunct/>
        <w:topLinePunct/>
        <w:autoSpaceDE/>
        <w:autoSpaceDN/>
        <w:bidi w:val="0"/>
        <w:spacing w:beforeAutospacing="0" w:afterAutospacing="0" w:line="540" w:lineRule="exact"/>
        <w:ind w:left="0" w:leftChars="0" w:right="0" w:firstLine="640" w:firstLineChars="200"/>
        <w:jc w:val="both"/>
        <w:rPr>
          <w:rFonts w:hint="eastAsia" w:ascii="楷体_GB2312" w:hAnsi="楷体_GB2312" w:eastAsia="楷体_GB2312" w:cs="楷体_GB2312"/>
          <w:b w:val="0"/>
          <w:bCs/>
          <w:color w:val="auto"/>
          <w:spacing w:val="0"/>
          <w:w w:val="100"/>
          <w:kern w:val="2"/>
          <w:position w:val="0"/>
          <w:sz w:val="32"/>
          <w:szCs w:val="32"/>
          <w:lang w:val="en-US" w:eastAsia="zh-CN" w:bidi="ar"/>
        </w:rPr>
      </w:pPr>
      <w:r>
        <w:rPr>
          <w:rFonts w:hint="eastAsia" w:ascii="楷体_GB2312" w:hAnsi="楷体_GB2312" w:eastAsia="楷体_GB2312" w:cs="楷体_GB2312"/>
          <w:b w:val="0"/>
          <w:bCs/>
          <w:color w:val="auto"/>
          <w:spacing w:val="0"/>
          <w:w w:val="100"/>
          <w:kern w:val="2"/>
          <w:position w:val="0"/>
          <w:sz w:val="32"/>
          <w:szCs w:val="32"/>
          <w:lang w:val="en-US" w:eastAsia="zh-CN" w:bidi="ar"/>
        </w:rPr>
        <w:t>（七）《高台县加强城区停车场（位）建设管理工作实施方案》（高政办发[2021]61号）</w:t>
      </w:r>
    </w:p>
    <w:p>
      <w:pPr>
        <w:keepNext w:val="0"/>
        <w:keepLines w:val="0"/>
        <w:pageBreakBefore w:val="0"/>
        <w:widowControl/>
        <w:suppressLineNumbers w:val="0"/>
        <w:kinsoku/>
        <w:wordWrap/>
        <w:overflowPunct/>
        <w:topLinePunct/>
        <w:autoSpaceDE/>
        <w:autoSpaceDN/>
        <w:bidi w:val="0"/>
        <w:spacing w:beforeAutospacing="0" w:afterAutospacing="0" w:line="540" w:lineRule="exact"/>
        <w:ind w:left="0" w:leftChars="0" w:right="0" w:firstLine="640" w:firstLineChars="200"/>
        <w:jc w:val="both"/>
        <w:rPr>
          <w:rFonts w:hint="eastAsia" w:ascii="仿宋_GB2312" w:hAnsi="仿宋_GB2312" w:eastAsia="仿宋_GB2312" w:cs="仿宋_GB2312"/>
          <w:b w:val="0"/>
          <w:bCs/>
          <w:color w:val="auto"/>
          <w:spacing w:val="0"/>
          <w:w w:val="100"/>
          <w:kern w:val="2"/>
          <w:position w:val="0"/>
          <w:sz w:val="32"/>
          <w:szCs w:val="32"/>
          <w:lang w:val="en-US" w:eastAsia="zh-CN" w:bidi="ar"/>
        </w:rPr>
      </w:pPr>
      <w:r>
        <w:rPr>
          <w:rFonts w:hint="eastAsia" w:ascii="仿宋_GB2312" w:hAnsi="仿宋_GB2312" w:eastAsia="仿宋_GB2312" w:cs="仿宋_GB2312"/>
          <w:b w:val="0"/>
          <w:bCs/>
          <w:color w:val="auto"/>
          <w:spacing w:val="0"/>
          <w:w w:val="100"/>
          <w:kern w:val="2"/>
          <w:position w:val="0"/>
          <w:sz w:val="32"/>
          <w:szCs w:val="32"/>
          <w:lang w:val="en-US" w:eastAsia="zh-CN" w:bidi="ar"/>
        </w:rPr>
        <w:t>a.问题内容条款</w:t>
      </w:r>
    </w:p>
    <w:tbl>
      <w:tblPr>
        <w:tblStyle w:val="18"/>
        <w:tblW w:w="5000" w:type="pct"/>
        <w:tblInd w:w="0" w:type="dxa"/>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865"/>
      </w:tblGrid>
      <w:tr>
        <w:tblPrEx>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CellMar>
            <w:top w:w="0" w:type="dxa"/>
            <w:left w:w="0" w:type="dxa"/>
            <w:bottom w:w="0" w:type="dxa"/>
            <w:right w:w="0" w:type="dxa"/>
          </w:tblCellMar>
        </w:tblPrEx>
        <w:trPr>
          <w:trHeight w:val="711" w:hRule="atLeast"/>
        </w:trPr>
        <w:tc>
          <w:tcPr>
            <w:tcW w:w="5000" w:type="pct"/>
            <w:tcBorders>
              <w:top w:val="single" w:color="000000" w:sz="8" w:space="0"/>
              <w:left w:val="single" w:color="000000" w:sz="8" w:space="0"/>
              <w:bottom w:val="single" w:color="000000" w:sz="8" w:space="0"/>
              <w:right w:val="single" w:color="000000" w:sz="8" w:space="0"/>
            </w:tcBorders>
            <w:shd w:val="clear" w:color="auto" w:fill="auto"/>
            <w:vAlign w:val="top"/>
          </w:tcPr>
          <w:p>
            <w:pPr>
              <w:pStyle w:val="12"/>
              <w:keepNext w:val="0"/>
              <w:keepLines w:val="0"/>
              <w:pageBreakBefore w:val="0"/>
              <w:widowControl/>
              <w:suppressLineNumbers w:val="0"/>
              <w:kinsoku/>
              <w:wordWrap/>
              <w:overflowPunct/>
              <w:topLinePunct/>
              <w:autoSpaceDE/>
              <w:autoSpaceDN/>
              <w:bidi w:val="0"/>
              <w:spacing w:before="0" w:beforeAutospacing="0" w:after="0" w:afterAutospacing="0" w:line="540" w:lineRule="exact"/>
              <w:ind w:left="0" w:leftChars="0" w:right="0" w:firstLine="560" w:firstLineChars="200"/>
              <w:jc w:val="both"/>
              <w:rPr>
                <w:rFonts w:hint="eastAsia" w:ascii="仿宋_GB2312" w:hAnsi="仿宋_GB2312" w:eastAsia="仿宋_GB2312" w:cs="仿宋_GB2312"/>
                <w:b w:val="0"/>
                <w:bCs/>
                <w:color w:val="auto"/>
                <w:spacing w:val="0"/>
                <w:w w:val="100"/>
                <w:kern w:val="2"/>
                <w:position w:val="0"/>
                <w:sz w:val="28"/>
                <w:szCs w:val="28"/>
                <w:highlight w:val="none"/>
                <w:lang w:val="en-US" w:eastAsia="zh-CN" w:bidi="ar"/>
              </w:rPr>
            </w:pPr>
            <w:r>
              <w:rPr>
                <w:rFonts w:hint="eastAsia" w:ascii="仿宋_GB2312" w:hAnsi="仿宋_GB2312" w:eastAsia="仿宋_GB2312" w:cs="仿宋_GB2312"/>
                <w:b w:val="0"/>
                <w:bCs/>
                <w:color w:val="auto"/>
                <w:spacing w:val="0"/>
                <w:w w:val="100"/>
                <w:kern w:val="0"/>
                <w:position w:val="0"/>
                <w:sz w:val="28"/>
                <w:szCs w:val="28"/>
                <w:highlight w:val="none"/>
                <w:lang w:val="en-US" w:eastAsia="zh-CN" w:bidi="ar"/>
              </w:rPr>
              <w:t>3.加强停车设施经营管理。</w:t>
            </w:r>
            <w:r>
              <w:rPr>
                <w:rFonts w:hint="eastAsia" w:ascii="仿宋_GB2312" w:hAnsi="仿宋_GB2312" w:eastAsia="仿宋_GB2312" w:cs="仿宋_GB2312"/>
                <w:b w:val="0"/>
                <w:bCs/>
                <w:color w:val="auto"/>
                <w:spacing w:val="0"/>
                <w:w w:val="100"/>
                <w:kern w:val="2"/>
                <w:position w:val="0"/>
                <w:sz w:val="28"/>
                <w:szCs w:val="28"/>
                <w:highlight w:val="none"/>
                <w:lang w:val="en-US" w:eastAsia="zh-CN" w:bidi="ar"/>
              </w:rPr>
              <w:t>促进各类经营性停车设施企业化、专业化经营。坚持市场化原则，城区路边停车泊位和政府投资建设的公共停车场实行市场化经营。</w:t>
            </w:r>
            <w:r>
              <w:rPr>
                <w:rFonts w:hint="eastAsia" w:ascii="仿宋_GB2312" w:hAnsi="仿宋_GB2312" w:eastAsia="仿宋_GB2312" w:cs="仿宋_GB2312"/>
                <w:b w:val="0"/>
                <w:bCs/>
                <w:color w:val="auto"/>
                <w:spacing w:val="0"/>
                <w:w w:val="100"/>
                <w:kern w:val="2"/>
                <w:position w:val="0"/>
                <w:sz w:val="28"/>
                <w:szCs w:val="28"/>
                <w:highlight w:val="none"/>
                <w:u w:val="single"/>
                <w:lang w:val="en-US" w:eastAsia="zh-CN" w:bidi="ar"/>
              </w:rPr>
              <w:t>政府投资建设的公共停车场由新成立的高台县民泰城市运营服务有限公司统一负责经营管理</w:t>
            </w:r>
          </w:p>
        </w:tc>
      </w:tr>
    </w:tbl>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仿宋_GB2312" w:hAnsi="仿宋_GB2312" w:eastAsia="仿宋_GB2312" w:cs="仿宋_GB2312"/>
          <w:b w:val="0"/>
          <w:bCs/>
          <w:color w:val="auto"/>
          <w:spacing w:val="0"/>
          <w:w w:val="100"/>
          <w:kern w:val="0"/>
          <w:position w:val="0"/>
          <w:sz w:val="32"/>
          <w:szCs w:val="32"/>
          <w:highlight w:val="none"/>
          <w:vertAlign w:val="baseline"/>
          <w:lang w:val="en-US" w:eastAsia="zh-CN" w:bidi="ar"/>
        </w:rPr>
      </w:pPr>
      <w:r>
        <w:rPr>
          <w:rFonts w:hint="eastAsia" w:ascii="仿宋_GB2312" w:hAnsi="仿宋_GB2312" w:eastAsia="仿宋_GB2312" w:cs="仿宋_GB2312"/>
          <w:b w:val="0"/>
          <w:bCs/>
          <w:color w:val="auto"/>
          <w:spacing w:val="0"/>
          <w:w w:val="100"/>
          <w:kern w:val="0"/>
          <w:position w:val="0"/>
          <w:sz w:val="32"/>
          <w:szCs w:val="32"/>
          <w:highlight w:val="none"/>
          <w:vertAlign w:val="baseline"/>
          <w:lang w:val="en-US" w:eastAsia="zh-CN" w:bidi="ar"/>
        </w:rPr>
        <w:t>b.剖析论证</w:t>
      </w:r>
    </w:p>
    <w:p>
      <w:pPr>
        <w:keepNext w:val="0"/>
        <w:keepLines w:val="0"/>
        <w:pageBreakBefore w:val="0"/>
        <w:widowControl/>
        <w:numPr>
          <w:ilvl w:val="0"/>
          <w:numId w:val="0"/>
        </w:numPr>
        <w:suppressLineNumbers w:val="0"/>
        <w:kinsoku/>
        <w:wordWrap/>
        <w:overflowPunct/>
        <w:topLinePunct/>
        <w:autoSpaceDE/>
        <w:autoSpaceDN/>
        <w:bidi w:val="0"/>
        <w:spacing w:beforeAutospacing="0" w:afterAutospacing="0" w:line="540" w:lineRule="exact"/>
        <w:ind w:left="0" w:leftChars="0" w:right="0" w:rightChars="0" w:firstLine="640" w:firstLineChars="200"/>
        <w:jc w:val="both"/>
        <w:rPr>
          <w:rFonts w:hint="eastAsia" w:ascii="仿宋_GB2312" w:hAnsi="仿宋_GB2312" w:eastAsia="仿宋_GB2312" w:cs="仿宋_GB2312"/>
          <w:b w:val="0"/>
          <w:bCs/>
          <w:snapToGrid/>
          <w:color w:val="auto"/>
          <w:spacing w:val="0"/>
          <w:w w:val="100"/>
          <w:kern w:val="0"/>
          <w:position w:val="0"/>
          <w:sz w:val="32"/>
          <w:szCs w:val="32"/>
          <w:highlight w:val="none"/>
          <w:lang w:eastAsia="zh-CN" w:bidi="ar"/>
        </w:rPr>
      </w:pPr>
      <w:r>
        <w:rPr>
          <w:rFonts w:hint="eastAsia" w:ascii="仿宋_GB2312" w:hAnsi="仿宋_GB2312" w:eastAsia="仿宋_GB2312" w:cs="仿宋_GB2312"/>
          <w:b w:val="0"/>
          <w:bCs/>
          <w:snapToGrid/>
          <w:color w:val="auto"/>
          <w:spacing w:val="0"/>
          <w:w w:val="100"/>
          <w:kern w:val="0"/>
          <w:position w:val="0"/>
          <w:sz w:val="32"/>
          <w:szCs w:val="32"/>
          <w:highlight w:val="none"/>
          <w:lang w:eastAsia="zh-CN" w:bidi="ar"/>
        </w:rPr>
        <w:t>文件内容违反《公平竞争审查制度实施细则》“第十五条</w:t>
      </w:r>
      <w:r>
        <w:rPr>
          <w:rFonts w:hint="eastAsia" w:ascii="仿宋_GB2312" w:hAnsi="仿宋_GB2312" w:eastAsia="仿宋_GB2312" w:cs="仿宋_GB2312"/>
          <w:b w:val="0"/>
          <w:bCs/>
          <w:snapToGrid/>
          <w:color w:val="auto"/>
          <w:spacing w:val="0"/>
          <w:w w:val="100"/>
          <w:kern w:val="0"/>
          <w:position w:val="0"/>
          <w:sz w:val="32"/>
          <w:szCs w:val="32"/>
          <w:highlight w:val="none"/>
          <w:lang w:val="en-US" w:eastAsia="zh-CN" w:bidi="ar"/>
        </w:rPr>
        <w:t>影响生产经营成本</w:t>
      </w:r>
      <w:r>
        <w:rPr>
          <w:rFonts w:hint="eastAsia" w:ascii="仿宋_GB2312" w:hAnsi="仿宋_GB2312" w:eastAsia="仿宋_GB2312" w:cs="仿宋_GB2312"/>
          <w:b w:val="0"/>
          <w:bCs/>
          <w:snapToGrid/>
          <w:color w:val="auto"/>
          <w:spacing w:val="0"/>
          <w:w w:val="100"/>
          <w:kern w:val="0"/>
          <w:position w:val="0"/>
          <w:sz w:val="32"/>
          <w:szCs w:val="32"/>
          <w:highlight w:val="none"/>
          <w:lang w:eastAsia="zh-CN" w:bidi="ar"/>
        </w:rPr>
        <w:t>标准</w:t>
      </w:r>
      <w:r>
        <w:rPr>
          <w:rFonts w:hint="eastAsia" w:ascii="仿宋_GB2312" w:hAnsi="仿宋_GB2312" w:eastAsia="仿宋_GB2312" w:cs="仿宋_GB2312"/>
          <w:b w:val="0"/>
          <w:bCs/>
          <w:color w:val="auto"/>
          <w:spacing w:val="0"/>
          <w:w w:val="100"/>
          <w:kern w:val="2"/>
          <w:position w:val="0"/>
          <w:sz w:val="32"/>
          <w:szCs w:val="32"/>
          <w:highlight w:val="none"/>
          <w:lang w:val="en-US" w:eastAsia="zh-CN" w:bidi="ar"/>
        </w:rPr>
        <w:t>（一）不得违法给予特定经营者优惠政策、包括但不限于：1.没有法律、行政法规或者国务院规定依据，给予特定经营者财政奖励和补贴”的规定。</w:t>
      </w:r>
    </w:p>
    <w:p>
      <w:pPr>
        <w:keepNext w:val="0"/>
        <w:keepLines w:val="0"/>
        <w:pageBreakBefore w:val="0"/>
        <w:widowControl/>
        <w:numPr>
          <w:ilvl w:val="0"/>
          <w:numId w:val="0"/>
        </w:numPr>
        <w:kinsoku/>
        <w:wordWrap/>
        <w:overflowPunct/>
        <w:topLinePunct/>
        <w:autoSpaceDE/>
        <w:autoSpaceDN/>
        <w:bidi w:val="0"/>
        <w:spacing w:line="540" w:lineRule="exact"/>
        <w:ind w:left="0" w:leftChars="0" w:right="0" w:rightChars="0" w:firstLine="640" w:firstLineChars="200"/>
        <w:jc w:val="both"/>
        <w:textAlignment w:val="baseline"/>
        <w:rPr>
          <w:rFonts w:hint="eastAsia" w:ascii="楷体_GB2312" w:hAnsi="楷体_GB2312" w:eastAsia="楷体_GB2312" w:cs="楷体_GB2312"/>
          <w:b w:val="0"/>
          <w:bCs/>
          <w:color w:val="auto"/>
          <w:spacing w:val="0"/>
          <w:w w:val="100"/>
          <w:kern w:val="2"/>
          <w:position w:val="0"/>
          <w:sz w:val="32"/>
          <w:szCs w:val="32"/>
          <w:highlight w:val="none"/>
          <w:lang w:val="en-US" w:eastAsia="zh-CN" w:bidi="ar"/>
        </w:rPr>
      </w:pPr>
      <w:r>
        <w:rPr>
          <w:rFonts w:hint="eastAsia" w:ascii="楷体_GB2312" w:hAnsi="楷体_GB2312" w:eastAsia="楷体_GB2312" w:cs="楷体_GB2312"/>
          <w:b w:val="0"/>
          <w:bCs/>
          <w:color w:val="auto"/>
          <w:spacing w:val="0"/>
          <w:w w:val="100"/>
          <w:position w:val="0"/>
          <w:sz w:val="32"/>
          <w:szCs w:val="32"/>
          <w:shd w:val="clear" w:color="auto" w:fill="FFFFFF"/>
          <w:lang w:eastAsia="zh-CN"/>
        </w:rPr>
        <w:t>（八）</w:t>
      </w:r>
      <w:r>
        <w:rPr>
          <w:rFonts w:hint="eastAsia" w:ascii="楷体_GB2312" w:hAnsi="楷体_GB2312" w:eastAsia="楷体_GB2312" w:cs="楷体_GB2312"/>
          <w:b w:val="0"/>
          <w:bCs/>
          <w:color w:val="auto"/>
          <w:spacing w:val="0"/>
          <w:w w:val="100"/>
          <w:position w:val="0"/>
          <w:sz w:val="32"/>
          <w:szCs w:val="32"/>
          <w:highlight w:val="none"/>
          <w:shd w:val="clear" w:color="auto" w:fill="FFFFFF"/>
          <w:lang w:eastAsia="zh-CN"/>
        </w:rPr>
        <w:t>《高台县农业保险助推乡村振兴工作实施方案》（</w:t>
      </w:r>
      <w:r>
        <w:rPr>
          <w:rFonts w:hint="eastAsia" w:ascii="楷体_GB2312" w:hAnsi="楷体_GB2312" w:eastAsia="楷体_GB2312" w:cs="楷体_GB2312"/>
          <w:b w:val="0"/>
          <w:bCs/>
          <w:color w:val="auto"/>
          <w:spacing w:val="0"/>
          <w:w w:val="100"/>
          <w:position w:val="0"/>
          <w:sz w:val="32"/>
          <w:szCs w:val="32"/>
          <w:highlight w:val="none"/>
          <w:u w:color="000000"/>
        </w:rPr>
        <w:t>高政发〔2021〕</w:t>
      </w:r>
      <w:r>
        <w:rPr>
          <w:rFonts w:hint="eastAsia" w:ascii="楷体_GB2312" w:hAnsi="楷体_GB2312" w:eastAsia="楷体_GB2312" w:cs="楷体_GB2312"/>
          <w:b w:val="0"/>
          <w:bCs/>
          <w:color w:val="auto"/>
          <w:spacing w:val="0"/>
          <w:w w:val="100"/>
          <w:position w:val="0"/>
          <w:sz w:val="32"/>
          <w:szCs w:val="32"/>
          <w:highlight w:val="none"/>
          <w:u w:color="000000"/>
          <w:lang w:val="en-US" w:eastAsia="zh-CN"/>
        </w:rPr>
        <w:t>10</w:t>
      </w:r>
      <w:r>
        <w:rPr>
          <w:rFonts w:hint="eastAsia" w:ascii="楷体_GB2312" w:hAnsi="楷体_GB2312" w:eastAsia="楷体_GB2312" w:cs="楷体_GB2312"/>
          <w:b w:val="0"/>
          <w:bCs/>
          <w:color w:val="auto"/>
          <w:spacing w:val="0"/>
          <w:w w:val="100"/>
          <w:position w:val="0"/>
          <w:sz w:val="32"/>
          <w:szCs w:val="32"/>
          <w:highlight w:val="none"/>
          <w:u w:color="000000"/>
        </w:rPr>
        <w:t>号</w:t>
      </w:r>
      <w:r>
        <w:rPr>
          <w:rFonts w:hint="eastAsia" w:ascii="楷体_GB2312" w:hAnsi="楷体_GB2312" w:eastAsia="楷体_GB2312" w:cs="楷体_GB2312"/>
          <w:b w:val="0"/>
          <w:bCs/>
          <w:color w:val="auto"/>
          <w:spacing w:val="0"/>
          <w:w w:val="100"/>
          <w:kern w:val="2"/>
          <w:position w:val="0"/>
          <w:sz w:val="32"/>
          <w:szCs w:val="32"/>
          <w:highlight w:val="none"/>
          <w:lang w:val="en-US" w:eastAsia="zh-CN" w:bidi="ar"/>
        </w:rPr>
        <w:t>）</w:t>
      </w:r>
    </w:p>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仿宋_GB2312" w:hAnsi="仿宋_GB2312" w:eastAsia="仿宋_GB2312" w:cs="仿宋_GB2312"/>
          <w:b w:val="0"/>
          <w:bCs/>
          <w:color w:val="auto"/>
          <w:spacing w:val="0"/>
          <w:w w:val="100"/>
          <w:kern w:val="0"/>
          <w:position w:val="0"/>
          <w:sz w:val="32"/>
          <w:szCs w:val="32"/>
          <w:highlight w:val="none"/>
          <w:vertAlign w:val="baseline"/>
        </w:rPr>
      </w:pPr>
      <w:r>
        <w:rPr>
          <w:rFonts w:hint="eastAsia" w:ascii="仿宋_GB2312" w:hAnsi="仿宋_GB2312" w:eastAsia="仿宋_GB2312" w:cs="仿宋_GB2312"/>
          <w:b w:val="0"/>
          <w:bCs/>
          <w:color w:val="auto"/>
          <w:spacing w:val="0"/>
          <w:w w:val="100"/>
          <w:kern w:val="0"/>
          <w:position w:val="0"/>
          <w:sz w:val="32"/>
          <w:szCs w:val="32"/>
          <w:highlight w:val="none"/>
          <w:vertAlign w:val="baseline"/>
          <w:lang w:val="en-US" w:eastAsia="zh-CN" w:bidi="ar"/>
        </w:rPr>
        <w:t>a.问题内容条款</w:t>
      </w:r>
    </w:p>
    <w:tbl>
      <w:tblPr>
        <w:tblStyle w:val="18"/>
        <w:tblW w:w="5000" w:type="pct"/>
        <w:tblInd w:w="0" w:type="dxa"/>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865"/>
      </w:tblGrid>
      <w:tr>
        <w:tblPrEx>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tblCellMar>
            <w:top w:w="0" w:type="dxa"/>
            <w:left w:w="0" w:type="dxa"/>
            <w:bottom w:w="0" w:type="dxa"/>
            <w:right w:w="0" w:type="dxa"/>
          </w:tblCellMar>
        </w:tblPrEx>
        <w:trPr>
          <w:trHeight w:val="636" w:hRule="atLeast"/>
        </w:trPr>
        <w:tc>
          <w:tcPr>
            <w:tcW w:w="5000" w:type="pct"/>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pageBreakBefore w:val="0"/>
              <w:widowControl/>
              <w:suppressLineNumbers w:val="0"/>
              <w:kinsoku/>
              <w:wordWrap/>
              <w:overflowPunct/>
              <w:topLinePunct/>
              <w:autoSpaceDE/>
              <w:autoSpaceDN/>
              <w:bidi w:val="0"/>
              <w:adjustRightInd w:val="0"/>
              <w:snapToGrid w:val="0"/>
              <w:spacing w:before="0" w:beforeAutospacing="0" w:after="0" w:afterAutospacing="0" w:line="540" w:lineRule="exact"/>
              <w:ind w:left="0" w:leftChars="0" w:right="0" w:firstLine="560" w:firstLineChars="200"/>
              <w:jc w:val="both"/>
              <w:textAlignment w:val="baseline"/>
              <w:rPr>
                <w:rFonts w:hint="eastAsia" w:ascii="仿宋_GB2312" w:hAnsi="仿宋_GB2312" w:eastAsia="仿宋_GB2312" w:cs="仿宋_GB2312"/>
                <w:b w:val="0"/>
                <w:bCs/>
                <w:color w:val="auto"/>
                <w:spacing w:val="0"/>
                <w:w w:val="100"/>
                <w:kern w:val="0"/>
                <w:position w:val="0"/>
                <w:sz w:val="28"/>
                <w:szCs w:val="28"/>
                <w:highlight w:val="none"/>
                <w:vertAlign w:val="baseline"/>
                <w:lang w:val="en-US" w:eastAsia="zh-CN" w:bidi="ar"/>
              </w:rPr>
            </w:pPr>
            <w:r>
              <w:rPr>
                <w:rFonts w:hint="eastAsia" w:ascii="仿宋_GB2312" w:hAnsi="仿宋_GB2312" w:eastAsia="仿宋_GB2312" w:cs="仿宋_GB2312"/>
                <w:b w:val="0"/>
                <w:bCs/>
                <w:color w:val="auto"/>
                <w:spacing w:val="0"/>
                <w:w w:val="100"/>
                <w:kern w:val="0"/>
                <w:position w:val="0"/>
                <w:sz w:val="28"/>
                <w:szCs w:val="28"/>
                <w:highlight w:val="none"/>
                <w:vertAlign w:val="baseline"/>
                <w:lang w:val="en-US" w:eastAsia="zh-CN" w:bidi="ar"/>
              </w:rPr>
              <w:t>文件第4页</w:t>
            </w:r>
          </w:p>
          <w:p>
            <w:pPr>
              <w:keepNext w:val="0"/>
              <w:keepLines w:val="0"/>
              <w:pageBreakBefore w:val="0"/>
              <w:widowControl/>
              <w:suppressLineNumbers w:val="0"/>
              <w:kinsoku/>
              <w:wordWrap/>
              <w:overflowPunct/>
              <w:topLinePunct/>
              <w:autoSpaceDE/>
              <w:autoSpaceDN/>
              <w:bidi w:val="0"/>
              <w:spacing w:before="0" w:beforeAutospacing="0" w:after="0" w:afterAutospacing="0" w:line="540" w:lineRule="exact"/>
              <w:ind w:left="0" w:leftChars="0" w:right="0" w:firstLine="560" w:firstLineChars="200"/>
              <w:jc w:val="both"/>
              <w:rPr>
                <w:rFonts w:hint="eastAsia" w:ascii="仿宋_GB2312" w:hAnsi="仿宋_GB2312" w:eastAsia="仿宋_GB2312" w:cs="仿宋_GB2312"/>
                <w:b w:val="0"/>
                <w:bCs/>
                <w:color w:val="auto"/>
                <w:spacing w:val="0"/>
                <w:w w:val="100"/>
                <w:position w:val="0"/>
                <w:sz w:val="28"/>
                <w:szCs w:val="28"/>
                <w:highlight w:val="none"/>
                <w:lang w:eastAsia="zh-CN"/>
              </w:rPr>
            </w:pPr>
            <w:r>
              <w:rPr>
                <w:rFonts w:hint="eastAsia" w:ascii="仿宋_GB2312" w:hAnsi="仿宋_GB2312" w:eastAsia="仿宋_GB2312" w:cs="仿宋_GB2312"/>
                <w:b w:val="0"/>
                <w:bCs/>
                <w:color w:val="auto"/>
                <w:spacing w:val="0"/>
                <w:w w:val="100"/>
                <w:kern w:val="2"/>
                <w:position w:val="0"/>
                <w:sz w:val="28"/>
                <w:szCs w:val="28"/>
                <w:highlight w:val="none"/>
                <w:lang w:val="en-US" w:eastAsia="zh-CN" w:bidi="ar"/>
              </w:rPr>
              <w:t>（二）承办机构。</w:t>
            </w:r>
            <w:r>
              <w:rPr>
                <w:rFonts w:hint="eastAsia" w:ascii="仿宋_GB2312" w:hAnsi="仿宋_GB2312" w:eastAsia="仿宋_GB2312" w:cs="仿宋_GB2312"/>
                <w:b w:val="0"/>
                <w:bCs/>
                <w:color w:val="auto"/>
                <w:spacing w:val="0"/>
                <w:w w:val="100"/>
                <w:kern w:val="0"/>
                <w:position w:val="0"/>
                <w:sz w:val="28"/>
                <w:szCs w:val="28"/>
                <w:highlight w:val="none"/>
                <w:u w:val="single"/>
                <w:lang w:val="en-US" w:eastAsia="zh-CN" w:bidi="ar"/>
              </w:rPr>
              <w:t>中国人民财产保险股份有</w:t>
            </w:r>
            <w:r>
              <w:rPr>
                <w:rFonts w:hint="eastAsia" w:ascii="仿宋_GB2312" w:hAnsi="仿宋_GB2312" w:eastAsia="仿宋_GB2312" w:cs="仿宋_GB2312"/>
                <w:b w:val="0"/>
                <w:bCs/>
                <w:color w:val="auto"/>
                <w:spacing w:val="0"/>
                <w:w w:val="100"/>
                <w:kern w:val="0"/>
                <w:position w:val="0"/>
                <w:sz w:val="28"/>
                <w:szCs w:val="28"/>
                <w:highlight w:val="none"/>
                <w:u w:val="none"/>
                <w:lang w:val="en-US" w:eastAsia="zh-CN" w:bidi="ar"/>
              </w:rPr>
              <w:t>限公司高台支公司</w:t>
            </w:r>
            <w:r>
              <w:rPr>
                <w:rFonts w:hint="eastAsia" w:ascii="仿宋_GB2312" w:hAnsi="仿宋_GB2312" w:eastAsia="仿宋_GB2312" w:cs="仿宋_GB2312"/>
                <w:b w:val="0"/>
                <w:bCs/>
                <w:color w:val="auto"/>
                <w:spacing w:val="0"/>
                <w:w w:val="100"/>
                <w:kern w:val="0"/>
                <w:position w:val="0"/>
                <w:sz w:val="28"/>
                <w:szCs w:val="28"/>
                <w:highlight w:val="none"/>
                <w:lang w:val="en-US" w:eastAsia="zh-CN" w:bidi="ar"/>
              </w:rPr>
              <w:t>承办新坝镇、南华镇、合黎镇种养产业综合保险，</w:t>
            </w:r>
            <w:r>
              <w:rPr>
                <w:rFonts w:hint="eastAsia" w:ascii="仿宋_GB2312" w:hAnsi="仿宋_GB2312" w:eastAsia="仿宋_GB2312" w:cs="仿宋_GB2312"/>
                <w:b w:val="0"/>
                <w:bCs/>
                <w:color w:val="auto"/>
                <w:spacing w:val="0"/>
                <w:w w:val="100"/>
                <w:kern w:val="0"/>
                <w:position w:val="0"/>
                <w:sz w:val="28"/>
                <w:szCs w:val="28"/>
                <w:highlight w:val="none"/>
                <w:u w:val="single"/>
                <w:lang w:val="en-US" w:eastAsia="zh-CN" w:bidi="ar"/>
              </w:rPr>
              <w:t>中华联合财产保险股份有限公司高台县支公司</w:t>
            </w:r>
            <w:r>
              <w:rPr>
                <w:rFonts w:hint="eastAsia" w:ascii="仿宋_GB2312" w:hAnsi="仿宋_GB2312" w:eastAsia="仿宋_GB2312" w:cs="仿宋_GB2312"/>
                <w:b w:val="0"/>
                <w:bCs/>
                <w:color w:val="auto"/>
                <w:spacing w:val="0"/>
                <w:w w:val="100"/>
                <w:kern w:val="0"/>
                <w:position w:val="0"/>
                <w:sz w:val="28"/>
                <w:szCs w:val="28"/>
                <w:highlight w:val="none"/>
                <w:lang w:val="en-US" w:eastAsia="zh-CN" w:bidi="ar"/>
              </w:rPr>
              <w:t>承办巷道镇、骆驼城镇种养产业综合保险，</w:t>
            </w:r>
            <w:r>
              <w:rPr>
                <w:rFonts w:hint="eastAsia" w:ascii="仿宋_GB2312" w:hAnsi="仿宋_GB2312" w:eastAsia="仿宋_GB2312" w:cs="仿宋_GB2312"/>
                <w:b w:val="0"/>
                <w:bCs/>
                <w:color w:val="auto"/>
                <w:spacing w:val="0"/>
                <w:w w:val="100"/>
                <w:kern w:val="0"/>
                <w:position w:val="0"/>
                <w:sz w:val="28"/>
                <w:szCs w:val="28"/>
                <w:highlight w:val="none"/>
                <w:u w:val="single"/>
                <w:lang w:val="en-US" w:eastAsia="zh-CN" w:bidi="ar"/>
              </w:rPr>
              <w:t>中国人寿财产保险股份有限公司高台县支公司</w:t>
            </w:r>
            <w:r>
              <w:rPr>
                <w:rFonts w:hint="eastAsia" w:ascii="仿宋_GB2312" w:hAnsi="仿宋_GB2312" w:eastAsia="仿宋_GB2312" w:cs="仿宋_GB2312"/>
                <w:b w:val="0"/>
                <w:bCs/>
                <w:color w:val="auto"/>
                <w:spacing w:val="0"/>
                <w:w w:val="100"/>
                <w:kern w:val="0"/>
                <w:position w:val="0"/>
                <w:sz w:val="28"/>
                <w:szCs w:val="28"/>
                <w:highlight w:val="none"/>
                <w:lang w:val="en-US" w:eastAsia="zh-CN" w:bidi="ar"/>
              </w:rPr>
              <w:t>承办宣化镇、黑泉镇、罗城镇种养产业综合保险。</w:t>
            </w:r>
          </w:p>
        </w:tc>
      </w:tr>
    </w:tbl>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仿宋_GB2312" w:hAnsi="仿宋_GB2312" w:eastAsia="仿宋_GB2312" w:cs="仿宋_GB2312"/>
          <w:b w:val="0"/>
          <w:bCs/>
          <w:color w:val="auto"/>
          <w:spacing w:val="0"/>
          <w:w w:val="100"/>
          <w:kern w:val="0"/>
          <w:position w:val="0"/>
          <w:sz w:val="32"/>
          <w:szCs w:val="32"/>
          <w:highlight w:val="none"/>
          <w:vertAlign w:val="baseline"/>
        </w:rPr>
      </w:pPr>
      <w:r>
        <w:rPr>
          <w:rFonts w:hint="eastAsia" w:ascii="仿宋_GB2312" w:hAnsi="仿宋_GB2312" w:eastAsia="仿宋_GB2312" w:cs="仿宋_GB2312"/>
          <w:b w:val="0"/>
          <w:bCs/>
          <w:color w:val="auto"/>
          <w:spacing w:val="0"/>
          <w:w w:val="100"/>
          <w:kern w:val="0"/>
          <w:position w:val="0"/>
          <w:sz w:val="32"/>
          <w:szCs w:val="32"/>
          <w:highlight w:val="none"/>
          <w:vertAlign w:val="baseline"/>
          <w:lang w:val="en-US" w:eastAsia="zh-CN" w:bidi="ar"/>
        </w:rPr>
        <w:t>b.剖析论证</w:t>
      </w:r>
    </w:p>
    <w:p>
      <w:pPr>
        <w:keepNext w:val="0"/>
        <w:keepLines w:val="0"/>
        <w:pageBreakBefore w:val="0"/>
        <w:widowControl/>
        <w:numPr>
          <w:ilvl w:val="0"/>
          <w:numId w:val="0"/>
        </w:numPr>
        <w:kinsoku/>
        <w:wordWrap/>
        <w:overflowPunct/>
        <w:topLinePunct/>
        <w:autoSpaceDE/>
        <w:autoSpaceDN/>
        <w:bidi w:val="0"/>
        <w:spacing w:line="540" w:lineRule="exact"/>
        <w:ind w:left="0" w:leftChars="0" w:right="0" w:rightChars="0" w:firstLine="640" w:firstLineChars="200"/>
        <w:jc w:val="both"/>
        <w:textAlignment w:val="baseline"/>
        <w:rPr>
          <w:rFonts w:hint="eastAsia" w:ascii="仿宋_GB2312" w:hAnsi="仿宋_GB2312" w:eastAsia="仿宋_GB2312" w:cs="仿宋_GB2312"/>
          <w:b w:val="0"/>
          <w:bCs/>
          <w:color w:val="auto"/>
          <w:spacing w:val="0"/>
          <w:w w:val="100"/>
          <w:position w:val="0"/>
          <w:sz w:val="32"/>
          <w:szCs w:val="32"/>
        </w:rPr>
      </w:pPr>
      <w:r>
        <w:rPr>
          <w:rFonts w:hint="eastAsia" w:ascii="仿宋_GB2312" w:hAnsi="仿宋_GB2312" w:eastAsia="仿宋_GB2312" w:cs="仿宋_GB2312"/>
          <w:b w:val="0"/>
          <w:bCs/>
          <w:snapToGrid/>
          <w:color w:val="auto"/>
          <w:spacing w:val="0"/>
          <w:w w:val="100"/>
          <w:kern w:val="0"/>
          <w:position w:val="0"/>
          <w:sz w:val="32"/>
          <w:szCs w:val="32"/>
          <w:highlight w:val="none"/>
          <w:lang w:eastAsia="zh-CN" w:bidi="ar"/>
        </w:rPr>
        <w:t>文件内容违反《公平竞争审查制度实施细则》“第十六条</w:t>
      </w:r>
      <w:r>
        <w:rPr>
          <w:rFonts w:hint="eastAsia" w:ascii="仿宋_GB2312" w:hAnsi="仿宋_GB2312" w:eastAsia="仿宋_GB2312" w:cs="仿宋_GB2312"/>
          <w:b w:val="0"/>
          <w:bCs/>
          <w:snapToGrid/>
          <w:color w:val="auto"/>
          <w:spacing w:val="0"/>
          <w:w w:val="100"/>
          <w:kern w:val="0"/>
          <w:position w:val="0"/>
          <w:sz w:val="32"/>
          <w:szCs w:val="32"/>
          <w:highlight w:val="none"/>
          <w:lang w:val="en-US" w:eastAsia="zh-CN" w:bidi="ar"/>
        </w:rPr>
        <w:t>影响生产经营行为</w:t>
      </w:r>
      <w:r>
        <w:rPr>
          <w:rFonts w:hint="eastAsia" w:ascii="仿宋_GB2312" w:hAnsi="仿宋_GB2312" w:eastAsia="仿宋_GB2312" w:cs="仿宋_GB2312"/>
          <w:b w:val="0"/>
          <w:bCs/>
          <w:snapToGrid/>
          <w:color w:val="auto"/>
          <w:spacing w:val="0"/>
          <w:w w:val="100"/>
          <w:kern w:val="0"/>
          <w:position w:val="0"/>
          <w:sz w:val="32"/>
          <w:szCs w:val="32"/>
          <w:highlight w:val="none"/>
          <w:lang w:eastAsia="zh-CN" w:bidi="ar"/>
        </w:rPr>
        <w:t>标准</w:t>
      </w:r>
      <w:r>
        <w:rPr>
          <w:rFonts w:hint="eastAsia" w:ascii="仿宋_GB2312" w:hAnsi="仿宋_GB2312" w:eastAsia="仿宋_GB2312" w:cs="仿宋_GB2312"/>
          <w:b w:val="0"/>
          <w:bCs/>
          <w:color w:val="auto"/>
          <w:spacing w:val="0"/>
          <w:w w:val="100"/>
          <w:kern w:val="2"/>
          <w:position w:val="0"/>
          <w:sz w:val="32"/>
          <w:szCs w:val="32"/>
          <w:highlight w:val="none"/>
          <w:lang w:eastAsia="zh-CN"/>
        </w:rPr>
        <w:t>（一）</w:t>
      </w:r>
      <w:r>
        <w:rPr>
          <w:rFonts w:hint="eastAsia" w:ascii="仿宋_GB2312" w:hAnsi="仿宋_GB2312" w:eastAsia="仿宋_GB2312" w:cs="仿宋_GB2312"/>
          <w:b w:val="0"/>
          <w:bCs/>
          <w:color w:val="auto"/>
          <w:spacing w:val="0"/>
          <w:w w:val="100"/>
          <w:kern w:val="2"/>
          <w:position w:val="0"/>
          <w:sz w:val="32"/>
          <w:szCs w:val="32"/>
          <w:highlight w:val="none"/>
        </w:rPr>
        <w:t>不得强制经营者从事《中华人民共和国反垄断法》</w:t>
      </w:r>
      <w:r>
        <w:rPr>
          <w:rFonts w:hint="eastAsia" w:ascii="仿宋_GB2312" w:hAnsi="仿宋_GB2312" w:eastAsia="仿宋_GB2312" w:cs="仿宋_GB2312"/>
          <w:b w:val="0"/>
          <w:bCs/>
          <w:color w:val="auto"/>
          <w:spacing w:val="0"/>
          <w:w w:val="100"/>
          <w:kern w:val="2"/>
          <w:position w:val="0"/>
          <w:sz w:val="32"/>
          <w:szCs w:val="32"/>
          <w:highlight w:val="none"/>
          <w:lang w:eastAsia="zh-CN"/>
        </w:rPr>
        <w:t>禁止</w:t>
      </w:r>
      <w:r>
        <w:rPr>
          <w:rFonts w:hint="eastAsia" w:ascii="仿宋_GB2312" w:hAnsi="仿宋_GB2312" w:eastAsia="仿宋_GB2312" w:cs="仿宋_GB2312"/>
          <w:b w:val="0"/>
          <w:bCs/>
          <w:color w:val="auto"/>
          <w:spacing w:val="0"/>
          <w:w w:val="100"/>
          <w:kern w:val="2"/>
          <w:position w:val="0"/>
          <w:sz w:val="32"/>
          <w:szCs w:val="32"/>
          <w:highlight w:val="none"/>
        </w:rPr>
        <w:t>的垄断行为，主要指以行政命令、行政授权、行政指导</w:t>
      </w:r>
      <w:r>
        <w:rPr>
          <w:rFonts w:hint="eastAsia" w:ascii="仿宋_GB2312" w:hAnsi="仿宋_GB2312" w:eastAsia="仿宋_GB2312" w:cs="仿宋_GB2312"/>
          <w:b w:val="0"/>
          <w:bCs/>
          <w:color w:val="auto"/>
          <w:spacing w:val="0"/>
          <w:w w:val="100"/>
          <w:kern w:val="2"/>
          <w:position w:val="0"/>
          <w:sz w:val="32"/>
          <w:szCs w:val="32"/>
          <w:highlight w:val="none"/>
          <w:lang w:eastAsia="zh-CN"/>
        </w:rPr>
        <w:t>等方式</w:t>
      </w:r>
      <w:r>
        <w:rPr>
          <w:rFonts w:hint="eastAsia" w:ascii="仿宋_GB2312" w:hAnsi="仿宋_GB2312" w:eastAsia="仿宋_GB2312" w:cs="仿宋_GB2312"/>
          <w:b w:val="0"/>
          <w:bCs/>
          <w:color w:val="auto"/>
          <w:spacing w:val="0"/>
          <w:w w:val="100"/>
          <w:kern w:val="2"/>
          <w:position w:val="0"/>
          <w:sz w:val="32"/>
          <w:szCs w:val="32"/>
          <w:highlight w:val="none"/>
        </w:rPr>
        <w:t>或者通过行业协会</w:t>
      </w:r>
      <w:r>
        <w:rPr>
          <w:rFonts w:hint="eastAsia" w:ascii="仿宋_GB2312" w:hAnsi="仿宋_GB2312" w:eastAsia="仿宋_GB2312" w:cs="仿宋_GB2312"/>
          <w:b w:val="0"/>
          <w:bCs/>
          <w:color w:val="auto"/>
          <w:spacing w:val="0"/>
          <w:w w:val="100"/>
          <w:kern w:val="2"/>
          <w:position w:val="0"/>
          <w:sz w:val="32"/>
          <w:szCs w:val="32"/>
          <w:highlight w:val="none"/>
          <w:lang w:eastAsia="zh-CN"/>
        </w:rPr>
        <w:t>、商会</w:t>
      </w:r>
      <w:r>
        <w:rPr>
          <w:rFonts w:hint="eastAsia" w:ascii="仿宋_GB2312" w:hAnsi="仿宋_GB2312" w:eastAsia="仿宋_GB2312" w:cs="仿宋_GB2312"/>
          <w:b w:val="0"/>
          <w:bCs/>
          <w:color w:val="auto"/>
          <w:spacing w:val="0"/>
          <w:w w:val="100"/>
          <w:kern w:val="2"/>
          <w:position w:val="0"/>
          <w:sz w:val="32"/>
          <w:szCs w:val="32"/>
          <w:highlight w:val="none"/>
        </w:rPr>
        <w:t>，强制、组织或者引导经营者达成、垄断协议</w:t>
      </w:r>
      <w:r>
        <w:rPr>
          <w:rFonts w:hint="eastAsia" w:ascii="仿宋_GB2312" w:hAnsi="仿宋_GB2312" w:eastAsia="仿宋_GB2312" w:cs="仿宋_GB2312"/>
          <w:b w:val="0"/>
          <w:bCs/>
          <w:color w:val="auto"/>
          <w:spacing w:val="0"/>
          <w:w w:val="100"/>
          <w:kern w:val="2"/>
          <w:position w:val="0"/>
          <w:sz w:val="32"/>
          <w:szCs w:val="32"/>
          <w:highlight w:val="none"/>
          <w:lang w:eastAsia="zh-CN"/>
        </w:rPr>
        <w:t>、</w:t>
      </w:r>
      <w:r>
        <w:rPr>
          <w:rFonts w:hint="eastAsia" w:ascii="仿宋_GB2312" w:hAnsi="仿宋_GB2312" w:eastAsia="仿宋_GB2312" w:cs="仿宋_GB2312"/>
          <w:b w:val="0"/>
          <w:bCs/>
          <w:color w:val="auto"/>
          <w:spacing w:val="0"/>
          <w:w w:val="100"/>
          <w:kern w:val="2"/>
          <w:position w:val="0"/>
          <w:sz w:val="32"/>
          <w:szCs w:val="32"/>
          <w:highlight w:val="none"/>
        </w:rPr>
        <w:t>滥用市场支配地位</w:t>
      </w:r>
      <w:r>
        <w:rPr>
          <w:rFonts w:hint="eastAsia" w:ascii="仿宋_GB2312" w:hAnsi="仿宋_GB2312" w:eastAsia="仿宋_GB2312" w:cs="仿宋_GB2312"/>
          <w:b w:val="0"/>
          <w:bCs/>
          <w:color w:val="auto"/>
          <w:spacing w:val="0"/>
          <w:w w:val="100"/>
          <w:kern w:val="2"/>
          <w:position w:val="0"/>
          <w:sz w:val="32"/>
          <w:szCs w:val="32"/>
          <w:highlight w:val="none"/>
          <w:lang w:eastAsia="zh-CN"/>
        </w:rPr>
        <w:t>，以及实施具有或者可能具有排除、限制竞争效果的经营者集中等行为”的规定。</w:t>
      </w:r>
    </w:p>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楷体_GB2312" w:hAnsi="楷体_GB2312" w:eastAsia="楷体_GB2312" w:cs="楷体_GB2312"/>
          <w:b w:val="0"/>
          <w:bCs/>
          <w:color w:val="auto"/>
          <w:spacing w:val="0"/>
          <w:w w:val="100"/>
          <w:kern w:val="2"/>
          <w:position w:val="0"/>
          <w:sz w:val="32"/>
          <w:szCs w:val="32"/>
          <w:highlight w:val="none"/>
          <w:lang w:val="en-US" w:eastAsia="zh-CN" w:bidi="ar"/>
        </w:rPr>
      </w:pPr>
      <w:r>
        <w:rPr>
          <w:rFonts w:hint="eastAsia" w:ascii="楷体_GB2312" w:hAnsi="楷体_GB2312" w:eastAsia="楷体_GB2312" w:cs="楷体_GB2312"/>
          <w:b w:val="0"/>
          <w:bCs/>
          <w:color w:val="auto"/>
          <w:spacing w:val="0"/>
          <w:w w:val="100"/>
          <w:position w:val="0"/>
          <w:sz w:val="32"/>
          <w:szCs w:val="32"/>
          <w:shd w:val="clear" w:color="auto" w:fill="FFFFFF"/>
          <w:lang w:eastAsia="zh-CN"/>
        </w:rPr>
        <w:t>（九）</w:t>
      </w:r>
      <w:r>
        <w:rPr>
          <w:rFonts w:hint="eastAsia" w:ascii="楷体_GB2312" w:hAnsi="楷体_GB2312" w:eastAsia="楷体_GB2312" w:cs="楷体_GB2312"/>
          <w:b w:val="0"/>
          <w:bCs/>
          <w:color w:val="auto"/>
          <w:spacing w:val="0"/>
          <w:w w:val="100"/>
          <w:kern w:val="2"/>
          <w:position w:val="0"/>
          <w:sz w:val="32"/>
          <w:szCs w:val="32"/>
          <w:highlight w:val="none"/>
          <w:lang w:val="en-US" w:eastAsia="zh-CN" w:bidi="ar"/>
        </w:rPr>
        <w:t>《高台县2022年促消费扩内需专项行动实施方案》（高</w:t>
      </w:r>
      <w:r>
        <w:rPr>
          <w:rFonts w:hint="eastAsia" w:ascii="楷体_GB2312" w:hAnsi="楷体_GB2312" w:eastAsia="楷体_GB2312" w:cs="楷体_GB2312"/>
          <w:b w:val="0"/>
          <w:bCs/>
          <w:color w:val="auto"/>
          <w:spacing w:val="0"/>
          <w:w w:val="100"/>
          <w:kern w:val="2"/>
          <w:position w:val="0"/>
          <w:sz w:val="32"/>
          <w:szCs w:val="32"/>
          <w:highlight w:val="none"/>
          <w:lang w:eastAsia="zh-CN" w:bidi="ar"/>
        </w:rPr>
        <w:t>政</w:t>
      </w:r>
      <w:r>
        <w:rPr>
          <w:rFonts w:hint="eastAsia" w:ascii="楷体_GB2312" w:hAnsi="楷体_GB2312" w:eastAsia="楷体_GB2312" w:cs="楷体_GB2312"/>
          <w:b w:val="0"/>
          <w:bCs/>
          <w:color w:val="auto"/>
          <w:spacing w:val="0"/>
          <w:w w:val="100"/>
          <w:kern w:val="2"/>
          <w:position w:val="0"/>
          <w:sz w:val="32"/>
          <w:szCs w:val="32"/>
          <w:highlight w:val="none"/>
          <w:lang w:val="en-US" w:eastAsia="zh-CN" w:bidi="ar"/>
        </w:rPr>
        <w:t>办发[2022]35号）</w:t>
      </w:r>
    </w:p>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仿宋_GB2312" w:hAnsi="仿宋_GB2312" w:eastAsia="仿宋_GB2312" w:cs="仿宋_GB2312"/>
          <w:b w:val="0"/>
          <w:bCs/>
          <w:color w:val="auto"/>
          <w:spacing w:val="0"/>
          <w:w w:val="100"/>
          <w:kern w:val="0"/>
          <w:position w:val="0"/>
          <w:sz w:val="32"/>
          <w:szCs w:val="32"/>
          <w:highlight w:val="none"/>
          <w:vertAlign w:val="baseline"/>
        </w:rPr>
      </w:pPr>
      <w:r>
        <w:rPr>
          <w:rFonts w:hint="eastAsia" w:ascii="仿宋_GB2312" w:hAnsi="仿宋_GB2312" w:eastAsia="仿宋_GB2312" w:cs="仿宋_GB2312"/>
          <w:b w:val="0"/>
          <w:bCs/>
          <w:color w:val="auto"/>
          <w:spacing w:val="0"/>
          <w:w w:val="100"/>
          <w:kern w:val="0"/>
          <w:position w:val="0"/>
          <w:sz w:val="32"/>
          <w:szCs w:val="32"/>
          <w:highlight w:val="none"/>
          <w:vertAlign w:val="baseline"/>
          <w:lang w:val="en-US" w:eastAsia="zh-CN" w:bidi="ar"/>
        </w:rPr>
        <w:t>a.问题内容条款</w:t>
      </w:r>
    </w:p>
    <w:tbl>
      <w:tblPr>
        <w:tblStyle w:val="18"/>
        <w:tblW w:w="5000" w:type="pct"/>
        <w:tblInd w:w="0" w:type="dxa"/>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865"/>
      </w:tblGrid>
      <w:tr>
        <w:tblPrEx>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CellMar>
            <w:top w:w="0" w:type="dxa"/>
            <w:left w:w="0" w:type="dxa"/>
            <w:bottom w:w="0" w:type="dxa"/>
            <w:right w:w="0" w:type="dxa"/>
          </w:tblCellMar>
        </w:tblPrEx>
        <w:trPr>
          <w:trHeight w:val="711" w:hRule="atLeast"/>
        </w:trPr>
        <w:tc>
          <w:tcPr>
            <w:tcW w:w="5000" w:type="pct"/>
            <w:tcBorders>
              <w:top w:val="single" w:color="000000" w:sz="8" w:space="0"/>
              <w:left w:val="single" w:color="000000" w:sz="8" w:space="0"/>
              <w:bottom w:val="single" w:color="000000" w:sz="8" w:space="0"/>
              <w:right w:val="single" w:color="000000" w:sz="8" w:space="0"/>
            </w:tcBorders>
            <w:shd w:val="clear" w:color="auto" w:fill="auto"/>
            <w:vAlign w:val="top"/>
          </w:tcPr>
          <w:p>
            <w:pPr>
              <w:pStyle w:val="12"/>
              <w:keepNext w:val="0"/>
              <w:keepLines w:val="0"/>
              <w:pageBreakBefore w:val="0"/>
              <w:widowControl/>
              <w:suppressLineNumbers w:val="0"/>
              <w:kinsoku/>
              <w:wordWrap/>
              <w:overflowPunct/>
              <w:topLinePunct/>
              <w:autoSpaceDE/>
              <w:autoSpaceDN/>
              <w:bidi w:val="0"/>
              <w:spacing w:before="0" w:beforeAutospacing="0" w:after="0" w:afterAutospacing="0" w:line="540" w:lineRule="exact"/>
              <w:ind w:left="0" w:leftChars="0" w:right="0" w:firstLine="560" w:firstLineChars="200"/>
              <w:jc w:val="both"/>
              <w:rPr>
                <w:rFonts w:hint="eastAsia" w:ascii="仿宋_GB2312" w:hAnsi="仿宋_GB2312" w:eastAsia="仿宋_GB2312" w:cs="仿宋_GB2312"/>
                <w:b w:val="0"/>
                <w:bCs/>
                <w:color w:val="auto"/>
                <w:spacing w:val="0"/>
                <w:w w:val="100"/>
                <w:kern w:val="2"/>
                <w:position w:val="0"/>
                <w:sz w:val="28"/>
                <w:szCs w:val="28"/>
                <w:highlight w:val="none"/>
                <w:lang w:val="en-US" w:eastAsia="zh-CN" w:bidi="ar"/>
              </w:rPr>
            </w:pPr>
            <w:r>
              <w:rPr>
                <w:rFonts w:hint="eastAsia" w:ascii="仿宋_GB2312" w:hAnsi="仿宋_GB2312" w:eastAsia="仿宋_GB2312" w:cs="仿宋_GB2312"/>
                <w:b w:val="0"/>
                <w:bCs/>
                <w:color w:val="auto"/>
                <w:spacing w:val="0"/>
                <w:w w:val="100"/>
                <w:kern w:val="2"/>
                <w:position w:val="0"/>
                <w:sz w:val="28"/>
                <w:szCs w:val="28"/>
                <w:highlight w:val="none"/>
                <w:lang w:val="en-US" w:eastAsia="zh-CN" w:bidi="ar"/>
              </w:rPr>
              <w:t>（二）开展汽车及成品油联动促销活动配套促销活动资金7.5万元。活动内容：组织县域内汽车销售企业、限上成品油经销企业联动开展购车送加油卡补助促销活动。2022年5月1日至12月15日</w:t>
            </w:r>
            <w:r>
              <w:rPr>
                <w:rFonts w:hint="eastAsia" w:ascii="仿宋_GB2312" w:hAnsi="仿宋_GB2312" w:eastAsia="仿宋_GB2312" w:cs="仿宋_GB2312"/>
                <w:b w:val="0"/>
                <w:bCs/>
                <w:color w:val="auto"/>
                <w:spacing w:val="0"/>
                <w:w w:val="100"/>
                <w:kern w:val="2"/>
                <w:position w:val="0"/>
                <w:sz w:val="28"/>
                <w:szCs w:val="28"/>
                <w:highlight w:val="none"/>
                <w:u w:val="single"/>
                <w:lang w:val="en-US" w:eastAsia="zh-CN" w:bidi="ar"/>
              </w:rPr>
              <w:t>在我县汽车经销企业购买车辆并在我县开具购车发票、缴纳车辆购置税的消费者，按照购买10万元以下车辆补贴1000元、10万元-20万元车辆补贴2000元、20万元以上车辆补贴3000元加油卡的标准，直接对消费者新购家用汽车进行补贴，同时参加活动的汽车经销企业、成品油经销企业要配套适当比例的优惠政策，加大促消费刺激力度</w:t>
            </w:r>
          </w:p>
        </w:tc>
      </w:tr>
    </w:tbl>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仿宋_GB2312" w:hAnsi="仿宋_GB2312" w:eastAsia="仿宋_GB2312" w:cs="仿宋_GB2312"/>
          <w:b w:val="0"/>
          <w:bCs/>
          <w:color w:val="auto"/>
          <w:spacing w:val="0"/>
          <w:w w:val="100"/>
          <w:kern w:val="0"/>
          <w:position w:val="0"/>
          <w:sz w:val="32"/>
          <w:szCs w:val="32"/>
          <w:highlight w:val="none"/>
          <w:vertAlign w:val="baseline"/>
          <w:lang w:val="en-US" w:eastAsia="zh-CN" w:bidi="ar"/>
        </w:rPr>
      </w:pPr>
      <w:r>
        <w:rPr>
          <w:rFonts w:hint="eastAsia" w:ascii="仿宋_GB2312" w:hAnsi="仿宋_GB2312" w:eastAsia="仿宋_GB2312" w:cs="仿宋_GB2312"/>
          <w:b w:val="0"/>
          <w:bCs/>
          <w:color w:val="auto"/>
          <w:spacing w:val="0"/>
          <w:w w:val="100"/>
          <w:kern w:val="0"/>
          <w:position w:val="0"/>
          <w:sz w:val="32"/>
          <w:szCs w:val="32"/>
          <w:highlight w:val="none"/>
          <w:vertAlign w:val="baseline"/>
          <w:lang w:val="en-US" w:eastAsia="zh-CN" w:bidi="ar"/>
        </w:rPr>
        <w:t>b.剖析论证</w:t>
      </w:r>
    </w:p>
    <w:p>
      <w:pPr>
        <w:keepNext w:val="0"/>
        <w:keepLines w:val="0"/>
        <w:pageBreakBefore w:val="0"/>
        <w:widowControl/>
        <w:numPr>
          <w:ilvl w:val="0"/>
          <w:numId w:val="0"/>
        </w:numPr>
        <w:suppressLineNumbers w:val="0"/>
        <w:kinsoku/>
        <w:wordWrap/>
        <w:overflowPunct/>
        <w:topLinePunct/>
        <w:autoSpaceDE/>
        <w:autoSpaceDN/>
        <w:bidi w:val="0"/>
        <w:spacing w:beforeAutospacing="0" w:afterAutospacing="0" w:line="540" w:lineRule="exact"/>
        <w:ind w:left="0" w:leftChars="0" w:right="0" w:rightChars="0" w:firstLine="640" w:firstLineChars="200"/>
        <w:jc w:val="both"/>
        <w:rPr>
          <w:rFonts w:hint="eastAsia" w:ascii="仿宋_GB2312" w:hAnsi="仿宋_GB2312" w:eastAsia="仿宋_GB2312" w:cs="仿宋_GB2312"/>
          <w:b w:val="0"/>
          <w:bCs/>
          <w:snapToGrid/>
          <w:color w:val="auto"/>
          <w:spacing w:val="0"/>
          <w:w w:val="100"/>
          <w:kern w:val="0"/>
          <w:position w:val="0"/>
          <w:sz w:val="32"/>
          <w:szCs w:val="32"/>
          <w:highlight w:val="none"/>
          <w:lang w:eastAsia="zh-CN" w:bidi="ar"/>
        </w:rPr>
      </w:pPr>
      <w:r>
        <w:rPr>
          <w:rFonts w:hint="eastAsia" w:ascii="仿宋_GB2312" w:hAnsi="仿宋_GB2312" w:eastAsia="仿宋_GB2312" w:cs="仿宋_GB2312"/>
          <w:b w:val="0"/>
          <w:bCs/>
          <w:snapToGrid/>
          <w:color w:val="auto"/>
          <w:spacing w:val="0"/>
          <w:w w:val="100"/>
          <w:kern w:val="0"/>
          <w:position w:val="0"/>
          <w:sz w:val="32"/>
          <w:szCs w:val="32"/>
          <w:highlight w:val="none"/>
          <w:lang w:eastAsia="zh-CN" w:bidi="ar"/>
        </w:rPr>
        <w:t>文件内容违反《公平竞争审查制度实施细则》“第十五条</w:t>
      </w:r>
      <w:r>
        <w:rPr>
          <w:rFonts w:hint="eastAsia" w:ascii="仿宋_GB2312" w:hAnsi="仿宋_GB2312" w:eastAsia="仿宋_GB2312" w:cs="仿宋_GB2312"/>
          <w:b w:val="0"/>
          <w:bCs/>
          <w:snapToGrid/>
          <w:color w:val="auto"/>
          <w:spacing w:val="0"/>
          <w:w w:val="100"/>
          <w:kern w:val="0"/>
          <w:position w:val="0"/>
          <w:sz w:val="32"/>
          <w:szCs w:val="32"/>
          <w:highlight w:val="none"/>
          <w:lang w:val="en-US" w:eastAsia="zh-CN" w:bidi="ar"/>
        </w:rPr>
        <w:t>影响生产经营成本</w:t>
      </w:r>
      <w:r>
        <w:rPr>
          <w:rFonts w:hint="eastAsia" w:ascii="仿宋_GB2312" w:hAnsi="仿宋_GB2312" w:eastAsia="仿宋_GB2312" w:cs="仿宋_GB2312"/>
          <w:b w:val="0"/>
          <w:bCs/>
          <w:snapToGrid/>
          <w:color w:val="auto"/>
          <w:spacing w:val="0"/>
          <w:w w:val="100"/>
          <w:kern w:val="0"/>
          <w:position w:val="0"/>
          <w:sz w:val="32"/>
          <w:szCs w:val="32"/>
          <w:highlight w:val="none"/>
          <w:lang w:eastAsia="zh-CN" w:bidi="ar"/>
        </w:rPr>
        <w:t>标准</w:t>
      </w:r>
      <w:r>
        <w:rPr>
          <w:rFonts w:hint="eastAsia" w:ascii="仿宋_GB2312" w:hAnsi="仿宋_GB2312" w:eastAsia="仿宋_GB2312" w:cs="仿宋_GB2312"/>
          <w:b w:val="0"/>
          <w:bCs/>
          <w:color w:val="auto"/>
          <w:spacing w:val="0"/>
          <w:w w:val="100"/>
          <w:kern w:val="2"/>
          <w:position w:val="0"/>
          <w:sz w:val="32"/>
          <w:szCs w:val="32"/>
          <w:highlight w:val="none"/>
          <w:lang w:val="en-US" w:eastAsia="zh-CN" w:bidi="ar"/>
        </w:rPr>
        <w:t>（一）不得违法给予特定经营者优惠政策、包括但不限于：1.没有法律、行政法规或者国务院规定依据，给予特定经营者财政奖励和补贴”的规定。</w:t>
      </w:r>
    </w:p>
    <w:p>
      <w:pPr>
        <w:keepNext w:val="0"/>
        <w:keepLines w:val="0"/>
        <w:pageBreakBefore w:val="0"/>
        <w:widowControl/>
        <w:numPr>
          <w:ilvl w:val="0"/>
          <w:numId w:val="0"/>
        </w:numPr>
        <w:suppressLineNumbers w:val="0"/>
        <w:kinsoku/>
        <w:wordWrap/>
        <w:overflowPunct/>
        <w:topLinePunct/>
        <w:autoSpaceDE/>
        <w:autoSpaceDN/>
        <w:bidi w:val="0"/>
        <w:adjustRightInd w:val="0"/>
        <w:snapToGrid w:val="0"/>
        <w:spacing w:beforeAutospacing="0" w:afterAutospacing="0" w:line="540" w:lineRule="exact"/>
        <w:ind w:left="0" w:leftChars="0" w:right="0" w:rightChars="0" w:firstLine="640" w:firstLineChars="200"/>
        <w:jc w:val="both"/>
        <w:textAlignment w:val="baseline"/>
        <w:rPr>
          <w:rFonts w:hint="eastAsia" w:ascii="楷体_GB2312" w:hAnsi="楷体_GB2312" w:eastAsia="楷体_GB2312" w:cs="楷体_GB2312"/>
          <w:b w:val="0"/>
          <w:bCs/>
          <w:color w:val="auto"/>
          <w:spacing w:val="0"/>
          <w:w w:val="100"/>
          <w:kern w:val="2"/>
          <w:position w:val="0"/>
          <w:sz w:val="32"/>
          <w:szCs w:val="32"/>
          <w:highlight w:val="none"/>
          <w:lang w:val="en-US" w:eastAsia="zh-CN" w:bidi="ar"/>
        </w:rPr>
      </w:pPr>
      <w:r>
        <w:rPr>
          <w:rFonts w:hint="eastAsia" w:ascii="楷体_GB2312" w:hAnsi="楷体_GB2312" w:eastAsia="楷体_GB2312" w:cs="楷体_GB2312"/>
          <w:b w:val="0"/>
          <w:bCs/>
          <w:color w:val="auto"/>
          <w:spacing w:val="0"/>
          <w:w w:val="100"/>
          <w:position w:val="0"/>
          <w:sz w:val="32"/>
          <w:szCs w:val="32"/>
          <w:shd w:val="clear" w:color="auto" w:fill="FFFFFF"/>
          <w:lang w:eastAsia="zh-CN"/>
        </w:rPr>
        <w:t>（十</w:t>
      </w:r>
      <w:r>
        <w:rPr>
          <w:rFonts w:hint="eastAsia" w:ascii="楷体_GB2312" w:hAnsi="楷体_GB2312" w:eastAsia="楷体_GB2312" w:cs="楷体_GB2312"/>
          <w:b w:val="0"/>
          <w:bCs/>
          <w:color w:val="auto"/>
          <w:spacing w:val="0"/>
          <w:w w:val="100"/>
          <w:position w:val="0"/>
          <w:sz w:val="32"/>
          <w:szCs w:val="32"/>
          <w:shd w:val="clear" w:color="auto" w:fill="FFFFFF"/>
          <w:lang w:val="en-US" w:eastAsia="zh-CN"/>
        </w:rPr>
        <w:t>）</w:t>
      </w:r>
      <w:r>
        <w:rPr>
          <w:rFonts w:hint="eastAsia" w:ascii="楷体_GB2312" w:hAnsi="楷体_GB2312" w:eastAsia="楷体_GB2312" w:cs="楷体_GB2312"/>
          <w:b w:val="0"/>
          <w:bCs/>
          <w:color w:val="auto"/>
          <w:spacing w:val="0"/>
          <w:w w:val="100"/>
          <w:kern w:val="2"/>
          <w:position w:val="0"/>
          <w:sz w:val="32"/>
          <w:szCs w:val="32"/>
          <w:highlight w:val="none"/>
          <w:lang w:val="en-US" w:eastAsia="zh-CN" w:bidi="ar"/>
        </w:rPr>
        <w:t>《高台县支持乡村产业振兴创业担保贷款工作实施方案（试行）》（高</w:t>
      </w:r>
      <w:r>
        <w:rPr>
          <w:rFonts w:hint="eastAsia" w:ascii="楷体_GB2312" w:hAnsi="楷体_GB2312" w:eastAsia="楷体_GB2312" w:cs="楷体_GB2312"/>
          <w:b w:val="0"/>
          <w:bCs/>
          <w:color w:val="auto"/>
          <w:spacing w:val="0"/>
          <w:w w:val="100"/>
          <w:kern w:val="2"/>
          <w:position w:val="0"/>
          <w:sz w:val="32"/>
          <w:szCs w:val="32"/>
          <w:highlight w:val="none"/>
          <w:lang w:eastAsia="zh-CN" w:bidi="ar"/>
        </w:rPr>
        <w:t>政</w:t>
      </w:r>
      <w:r>
        <w:rPr>
          <w:rFonts w:hint="eastAsia" w:ascii="楷体_GB2312" w:hAnsi="楷体_GB2312" w:eastAsia="楷体_GB2312" w:cs="楷体_GB2312"/>
          <w:b w:val="0"/>
          <w:bCs/>
          <w:color w:val="auto"/>
          <w:spacing w:val="0"/>
          <w:w w:val="100"/>
          <w:kern w:val="2"/>
          <w:position w:val="0"/>
          <w:sz w:val="32"/>
          <w:szCs w:val="32"/>
          <w:highlight w:val="none"/>
          <w:lang w:val="en-US" w:eastAsia="zh-CN" w:bidi="ar"/>
        </w:rPr>
        <w:t>办发[2022]39号）</w:t>
      </w:r>
    </w:p>
    <w:p>
      <w:pPr>
        <w:keepNext w:val="0"/>
        <w:keepLines w:val="0"/>
        <w:pageBreakBefore w:val="0"/>
        <w:widowControl/>
        <w:numPr>
          <w:ilvl w:val="0"/>
          <w:numId w:val="0"/>
        </w:numPr>
        <w:suppressLineNumbers w:val="0"/>
        <w:kinsoku/>
        <w:wordWrap/>
        <w:overflowPunct/>
        <w:topLinePunct/>
        <w:autoSpaceDE/>
        <w:autoSpaceDN/>
        <w:bidi w:val="0"/>
        <w:adjustRightInd w:val="0"/>
        <w:snapToGrid w:val="0"/>
        <w:spacing w:beforeAutospacing="0" w:afterAutospacing="0" w:line="540" w:lineRule="exact"/>
        <w:ind w:left="0" w:leftChars="0" w:right="0" w:rightChars="0" w:firstLine="640" w:firstLineChars="200"/>
        <w:jc w:val="both"/>
        <w:textAlignment w:val="baseline"/>
        <w:rPr>
          <w:rFonts w:hint="eastAsia" w:ascii="仿宋_GB2312" w:hAnsi="仿宋_GB2312" w:eastAsia="仿宋_GB2312" w:cs="仿宋_GB2312"/>
          <w:b w:val="0"/>
          <w:bCs/>
          <w:color w:val="auto"/>
          <w:spacing w:val="0"/>
          <w:w w:val="100"/>
          <w:kern w:val="0"/>
          <w:position w:val="0"/>
          <w:sz w:val="32"/>
          <w:szCs w:val="32"/>
          <w:highlight w:val="none"/>
          <w:vertAlign w:val="baseline"/>
        </w:rPr>
      </w:pPr>
      <w:r>
        <w:rPr>
          <w:rFonts w:hint="eastAsia" w:ascii="仿宋_GB2312" w:hAnsi="仿宋_GB2312" w:eastAsia="仿宋_GB2312" w:cs="仿宋_GB2312"/>
          <w:b w:val="0"/>
          <w:bCs/>
          <w:color w:val="auto"/>
          <w:spacing w:val="0"/>
          <w:w w:val="100"/>
          <w:kern w:val="0"/>
          <w:position w:val="0"/>
          <w:sz w:val="32"/>
          <w:szCs w:val="32"/>
          <w:highlight w:val="none"/>
          <w:vertAlign w:val="baseline"/>
          <w:lang w:val="en-US" w:eastAsia="zh-CN" w:bidi="ar"/>
        </w:rPr>
        <w:t>a.问题内容条款</w:t>
      </w:r>
    </w:p>
    <w:tbl>
      <w:tblPr>
        <w:tblStyle w:val="18"/>
        <w:tblW w:w="5000" w:type="pct"/>
        <w:tblInd w:w="0" w:type="dxa"/>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865"/>
      </w:tblGrid>
      <w:tr>
        <w:tblPrEx>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PrEx>
        <w:trPr>
          <w:trHeight w:val="711" w:hRule="atLeast"/>
        </w:trPr>
        <w:tc>
          <w:tcPr>
            <w:tcW w:w="5000" w:type="pct"/>
            <w:tcBorders>
              <w:top w:val="single" w:color="000000" w:sz="8" w:space="0"/>
              <w:left w:val="single" w:color="000000" w:sz="8" w:space="0"/>
              <w:bottom w:val="single" w:color="000000" w:sz="8" w:space="0"/>
              <w:right w:val="single" w:color="000000" w:sz="8" w:space="0"/>
            </w:tcBorders>
            <w:shd w:val="clear" w:color="auto" w:fill="auto"/>
            <w:vAlign w:val="top"/>
          </w:tcPr>
          <w:p>
            <w:pPr>
              <w:pStyle w:val="12"/>
              <w:keepNext w:val="0"/>
              <w:keepLines w:val="0"/>
              <w:pageBreakBefore w:val="0"/>
              <w:widowControl/>
              <w:suppressLineNumbers w:val="0"/>
              <w:kinsoku/>
              <w:wordWrap/>
              <w:overflowPunct/>
              <w:topLinePunct/>
              <w:autoSpaceDE/>
              <w:autoSpaceDN/>
              <w:bidi w:val="0"/>
              <w:spacing w:before="0" w:beforeAutospacing="0" w:after="0" w:afterAutospacing="0" w:line="540" w:lineRule="exact"/>
              <w:ind w:left="0" w:leftChars="0" w:right="0" w:firstLine="560" w:firstLineChars="200"/>
              <w:jc w:val="both"/>
              <w:rPr>
                <w:rFonts w:hint="eastAsia" w:ascii="仿宋_GB2312" w:hAnsi="仿宋_GB2312" w:eastAsia="仿宋_GB2312" w:cs="仿宋_GB2312"/>
                <w:b w:val="0"/>
                <w:bCs/>
                <w:color w:val="auto"/>
                <w:spacing w:val="0"/>
                <w:w w:val="100"/>
                <w:kern w:val="2"/>
                <w:position w:val="0"/>
                <w:sz w:val="28"/>
                <w:szCs w:val="28"/>
                <w:highlight w:val="none"/>
                <w:lang w:val="en-US" w:eastAsia="zh-CN" w:bidi="ar"/>
              </w:rPr>
            </w:pPr>
            <w:r>
              <w:rPr>
                <w:rFonts w:hint="eastAsia" w:ascii="仿宋_GB2312" w:hAnsi="仿宋_GB2312" w:eastAsia="仿宋_GB2312" w:cs="仿宋_GB2312"/>
                <w:b w:val="0"/>
                <w:bCs/>
                <w:snapToGrid/>
                <w:color w:val="auto"/>
                <w:spacing w:val="0"/>
                <w:w w:val="100"/>
                <w:kern w:val="0"/>
                <w:position w:val="0"/>
                <w:sz w:val="28"/>
                <w:szCs w:val="28"/>
                <w:highlight w:val="none"/>
                <w:lang w:val="en-US" w:eastAsia="zh-CN" w:bidi="ar"/>
              </w:rPr>
              <w:t>三、主要内容（一）乡村产业振兴创业担保贷款乡村产业振兴创业担保贷款，是指以具备规定条件的创业者为借款人，</w:t>
            </w:r>
            <w:r>
              <w:rPr>
                <w:rFonts w:hint="eastAsia" w:ascii="仿宋_GB2312" w:hAnsi="仿宋_GB2312" w:eastAsia="仿宋_GB2312" w:cs="仿宋_GB2312"/>
                <w:b w:val="0"/>
                <w:bCs/>
                <w:snapToGrid/>
                <w:color w:val="auto"/>
                <w:spacing w:val="0"/>
                <w:w w:val="100"/>
                <w:kern w:val="0"/>
                <w:position w:val="0"/>
                <w:sz w:val="28"/>
                <w:szCs w:val="28"/>
                <w:highlight w:val="none"/>
                <w:u w:val="none"/>
                <w:lang w:val="en-US" w:eastAsia="zh-CN" w:bidi="ar"/>
              </w:rPr>
              <w:t>具体承贷银行发放，</w:t>
            </w:r>
            <w:r>
              <w:rPr>
                <w:rFonts w:hint="eastAsia" w:ascii="仿宋_GB2312" w:hAnsi="仿宋_GB2312" w:eastAsia="仿宋_GB2312" w:cs="仿宋_GB2312"/>
                <w:b w:val="0"/>
                <w:bCs/>
                <w:snapToGrid/>
                <w:color w:val="auto"/>
                <w:spacing w:val="0"/>
                <w:w w:val="100"/>
                <w:kern w:val="0"/>
                <w:position w:val="0"/>
                <w:sz w:val="28"/>
                <w:szCs w:val="28"/>
                <w:highlight w:val="none"/>
                <w:u w:val="single"/>
                <w:lang w:val="en-US" w:eastAsia="zh-CN" w:bidi="ar"/>
              </w:rPr>
              <w:t>财政部门给予部分贴息</w:t>
            </w:r>
            <w:r>
              <w:rPr>
                <w:rFonts w:hint="eastAsia" w:ascii="仿宋_GB2312" w:hAnsi="仿宋_GB2312" w:eastAsia="仿宋_GB2312" w:cs="仿宋_GB2312"/>
                <w:b w:val="0"/>
                <w:bCs/>
                <w:snapToGrid/>
                <w:color w:val="auto"/>
                <w:spacing w:val="0"/>
                <w:w w:val="100"/>
                <w:kern w:val="0"/>
                <w:position w:val="0"/>
                <w:sz w:val="28"/>
                <w:szCs w:val="28"/>
                <w:highlight w:val="none"/>
                <w:u w:val="none"/>
                <w:lang w:val="en-US" w:eastAsia="zh-CN" w:bidi="ar"/>
              </w:rPr>
              <w:t>，用于支持自主创业助力乡村产业振兴的贷款业务。</w:t>
            </w:r>
            <w:r>
              <w:rPr>
                <w:rFonts w:hint="eastAsia" w:ascii="仿宋_GB2312" w:hAnsi="仿宋_GB2312" w:eastAsia="仿宋_GB2312" w:cs="仿宋_GB2312"/>
                <w:b w:val="0"/>
                <w:bCs/>
                <w:snapToGrid/>
                <w:color w:val="auto"/>
                <w:spacing w:val="0"/>
                <w:w w:val="100"/>
                <w:kern w:val="0"/>
                <w:position w:val="0"/>
                <w:sz w:val="28"/>
                <w:szCs w:val="28"/>
                <w:highlight w:val="none"/>
                <w:lang w:val="en-US" w:eastAsia="zh-CN" w:bidi="ar"/>
              </w:rPr>
              <w:t>由县人社部门负责发放的创业担保贷款基金担保的创业担保贷款不适用本《实施方案（试行）》。（二）扶持对象1.贷款范围：是指在限定年龄内（男性57岁以内，女性52岁以内）、具有完全民事行为能力，</w:t>
            </w:r>
            <w:r>
              <w:rPr>
                <w:rFonts w:hint="eastAsia" w:ascii="仿宋_GB2312" w:hAnsi="仿宋_GB2312" w:eastAsia="仿宋_GB2312" w:cs="仿宋_GB2312"/>
                <w:b w:val="0"/>
                <w:bCs/>
                <w:snapToGrid/>
                <w:color w:val="auto"/>
                <w:spacing w:val="0"/>
                <w:w w:val="100"/>
                <w:kern w:val="0"/>
                <w:position w:val="0"/>
                <w:sz w:val="28"/>
                <w:szCs w:val="28"/>
                <w:highlight w:val="none"/>
                <w:u w:val="single"/>
                <w:lang w:val="en-US" w:eastAsia="zh-CN" w:bidi="ar"/>
              </w:rPr>
              <w:t>在高台县境内从事个体经营、合伙创业或者组织起来创业的农村居民</w:t>
            </w:r>
            <w:r>
              <w:rPr>
                <w:rFonts w:hint="eastAsia" w:ascii="仿宋_GB2312" w:hAnsi="仿宋_GB2312" w:eastAsia="仿宋_GB2312" w:cs="仿宋_GB2312"/>
                <w:b w:val="0"/>
                <w:bCs/>
                <w:snapToGrid/>
                <w:color w:val="auto"/>
                <w:spacing w:val="0"/>
                <w:w w:val="100"/>
                <w:kern w:val="0"/>
                <w:position w:val="0"/>
                <w:sz w:val="28"/>
                <w:szCs w:val="28"/>
                <w:highlight w:val="none"/>
                <w:lang w:val="en-US" w:eastAsia="zh-CN" w:bidi="ar"/>
              </w:rPr>
              <w:t>。2.贷款对象：农村居民中的返乡创业农民工、自主创业农民、网络商户、已脱贫人口、高校毕业生、复员转业退役军人、刑满释放人员。</w:t>
            </w:r>
          </w:p>
        </w:tc>
      </w:tr>
    </w:tbl>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仿宋_GB2312" w:hAnsi="仿宋_GB2312" w:eastAsia="仿宋_GB2312" w:cs="仿宋_GB2312"/>
          <w:b w:val="0"/>
          <w:bCs/>
          <w:color w:val="auto"/>
          <w:spacing w:val="0"/>
          <w:w w:val="100"/>
          <w:kern w:val="0"/>
          <w:position w:val="0"/>
          <w:sz w:val="32"/>
          <w:szCs w:val="32"/>
          <w:highlight w:val="none"/>
          <w:vertAlign w:val="baseline"/>
          <w:lang w:val="en-US" w:eastAsia="zh-CN" w:bidi="ar"/>
        </w:rPr>
      </w:pPr>
      <w:r>
        <w:rPr>
          <w:rFonts w:hint="eastAsia" w:ascii="仿宋_GB2312" w:hAnsi="仿宋_GB2312" w:eastAsia="仿宋_GB2312" w:cs="仿宋_GB2312"/>
          <w:b w:val="0"/>
          <w:bCs/>
          <w:color w:val="auto"/>
          <w:spacing w:val="0"/>
          <w:w w:val="100"/>
          <w:kern w:val="0"/>
          <w:position w:val="0"/>
          <w:sz w:val="32"/>
          <w:szCs w:val="32"/>
          <w:highlight w:val="none"/>
          <w:vertAlign w:val="baseline"/>
          <w:lang w:val="en-US" w:eastAsia="zh-CN" w:bidi="ar"/>
        </w:rPr>
        <w:t>b.剖析论证</w:t>
      </w:r>
    </w:p>
    <w:p>
      <w:pPr>
        <w:keepNext w:val="0"/>
        <w:keepLines w:val="0"/>
        <w:pageBreakBefore w:val="0"/>
        <w:widowControl/>
        <w:numPr>
          <w:ilvl w:val="0"/>
          <w:numId w:val="0"/>
        </w:numPr>
        <w:kinsoku/>
        <w:wordWrap/>
        <w:overflowPunct/>
        <w:topLinePunct/>
        <w:autoSpaceDE/>
        <w:autoSpaceDN/>
        <w:bidi w:val="0"/>
        <w:spacing w:line="540" w:lineRule="exact"/>
        <w:ind w:left="0" w:leftChars="0" w:right="0" w:rightChars="0" w:firstLine="640" w:firstLineChars="200"/>
        <w:jc w:val="both"/>
        <w:textAlignment w:val="baseline"/>
        <w:rPr>
          <w:rFonts w:hint="eastAsia" w:ascii="仿宋_GB2312" w:hAnsi="仿宋_GB2312" w:eastAsia="仿宋_GB2312" w:cs="仿宋_GB2312"/>
          <w:b w:val="0"/>
          <w:bCs/>
          <w:color w:val="auto"/>
          <w:spacing w:val="0"/>
          <w:w w:val="100"/>
          <w:position w:val="0"/>
          <w:sz w:val="32"/>
          <w:szCs w:val="32"/>
        </w:rPr>
      </w:pPr>
      <w:r>
        <w:rPr>
          <w:rFonts w:hint="eastAsia" w:ascii="仿宋_GB2312" w:hAnsi="仿宋_GB2312" w:eastAsia="仿宋_GB2312" w:cs="仿宋_GB2312"/>
          <w:b w:val="0"/>
          <w:bCs/>
          <w:snapToGrid/>
          <w:color w:val="auto"/>
          <w:spacing w:val="0"/>
          <w:w w:val="100"/>
          <w:kern w:val="0"/>
          <w:position w:val="0"/>
          <w:sz w:val="32"/>
          <w:szCs w:val="32"/>
          <w:highlight w:val="none"/>
          <w:lang w:eastAsia="zh-CN" w:bidi="ar"/>
        </w:rPr>
        <w:t>文件内容违反《公平竞争审查制度实施细则》“第十五条</w:t>
      </w:r>
      <w:r>
        <w:rPr>
          <w:rFonts w:hint="eastAsia" w:ascii="仿宋_GB2312" w:hAnsi="仿宋_GB2312" w:eastAsia="仿宋_GB2312" w:cs="仿宋_GB2312"/>
          <w:b w:val="0"/>
          <w:bCs/>
          <w:snapToGrid/>
          <w:color w:val="auto"/>
          <w:spacing w:val="0"/>
          <w:w w:val="100"/>
          <w:kern w:val="0"/>
          <w:position w:val="0"/>
          <w:sz w:val="32"/>
          <w:szCs w:val="32"/>
          <w:highlight w:val="none"/>
          <w:lang w:val="en-US" w:eastAsia="zh-CN" w:bidi="ar"/>
        </w:rPr>
        <w:t>影响生产经营成本</w:t>
      </w:r>
      <w:r>
        <w:rPr>
          <w:rFonts w:hint="eastAsia" w:ascii="仿宋_GB2312" w:hAnsi="仿宋_GB2312" w:eastAsia="仿宋_GB2312" w:cs="仿宋_GB2312"/>
          <w:b w:val="0"/>
          <w:bCs/>
          <w:snapToGrid/>
          <w:color w:val="auto"/>
          <w:spacing w:val="0"/>
          <w:w w:val="100"/>
          <w:kern w:val="0"/>
          <w:position w:val="0"/>
          <w:sz w:val="32"/>
          <w:szCs w:val="32"/>
          <w:highlight w:val="none"/>
          <w:lang w:eastAsia="zh-CN" w:bidi="ar"/>
        </w:rPr>
        <w:t>标准</w:t>
      </w:r>
      <w:r>
        <w:rPr>
          <w:rFonts w:hint="eastAsia" w:ascii="仿宋_GB2312" w:hAnsi="仿宋_GB2312" w:eastAsia="仿宋_GB2312" w:cs="仿宋_GB2312"/>
          <w:b w:val="0"/>
          <w:bCs/>
          <w:color w:val="auto"/>
          <w:spacing w:val="0"/>
          <w:w w:val="100"/>
          <w:kern w:val="2"/>
          <w:position w:val="0"/>
          <w:sz w:val="32"/>
          <w:szCs w:val="32"/>
          <w:highlight w:val="none"/>
          <w:lang w:val="en-US" w:eastAsia="zh-CN" w:bidi="ar"/>
        </w:rPr>
        <w:t>（一）不得违法给予特定经营者优惠政策、包括但不限于：1.没有法律、行政法规或者国务院规定依据，给予特定经营者财政奖励和补贴”的规定。</w:t>
      </w:r>
    </w:p>
    <w:p>
      <w:pPr>
        <w:keepNext w:val="0"/>
        <w:keepLines w:val="0"/>
        <w:pageBreakBefore w:val="0"/>
        <w:widowControl/>
        <w:numPr>
          <w:ilvl w:val="0"/>
          <w:numId w:val="0"/>
        </w:numPr>
        <w:suppressLineNumbers w:val="0"/>
        <w:kinsoku/>
        <w:wordWrap/>
        <w:overflowPunct/>
        <w:topLinePunct/>
        <w:autoSpaceDE/>
        <w:autoSpaceDN/>
        <w:bidi w:val="0"/>
        <w:adjustRightInd w:val="0"/>
        <w:snapToGrid w:val="0"/>
        <w:spacing w:beforeAutospacing="0" w:afterAutospacing="0" w:line="540" w:lineRule="exact"/>
        <w:ind w:left="0" w:leftChars="0" w:right="0" w:rightChars="0" w:firstLine="640" w:firstLineChars="200"/>
        <w:jc w:val="both"/>
        <w:textAlignment w:val="baseline"/>
        <w:rPr>
          <w:rFonts w:hint="eastAsia" w:ascii="楷体_GB2312" w:hAnsi="楷体_GB2312" w:eastAsia="楷体_GB2312" w:cs="楷体_GB2312"/>
          <w:b w:val="0"/>
          <w:bCs/>
          <w:color w:val="auto"/>
          <w:spacing w:val="0"/>
          <w:w w:val="100"/>
          <w:kern w:val="2"/>
          <w:position w:val="0"/>
          <w:sz w:val="32"/>
          <w:szCs w:val="32"/>
          <w:highlight w:val="none"/>
          <w:lang w:val="en-US" w:eastAsia="zh-CN" w:bidi="ar"/>
        </w:rPr>
      </w:pPr>
      <w:r>
        <w:rPr>
          <w:rFonts w:hint="eastAsia" w:ascii="楷体_GB2312" w:hAnsi="楷体_GB2312" w:eastAsia="楷体_GB2312" w:cs="楷体_GB2312"/>
          <w:b w:val="0"/>
          <w:bCs/>
          <w:color w:val="auto"/>
          <w:spacing w:val="0"/>
          <w:w w:val="100"/>
          <w:kern w:val="2"/>
          <w:position w:val="0"/>
          <w:sz w:val="32"/>
          <w:szCs w:val="32"/>
          <w:highlight w:val="none"/>
          <w:lang w:val="en-US" w:eastAsia="zh-CN" w:bidi="ar"/>
        </w:rPr>
        <w:t>（十一）《高台县2022年制种大县奖励资金项目实施方案》（高</w:t>
      </w:r>
      <w:r>
        <w:rPr>
          <w:rFonts w:hint="eastAsia" w:ascii="楷体_GB2312" w:hAnsi="楷体_GB2312" w:eastAsia="楷体_GB2312" w:cs="楷体_GB2312"/>
          <w:b w:val="0"/>
          <w:bCs/>
          <w:color w:val="auto"/>
          <w:spacing w:val="0"/>
          <w:w w:val="100"/>
          <w:kern w:val="2"/>
          <w:position w:val="0"/>
          <w:sz w:val="32"/>
          <w:szCs w:val="32"/>
          <w:highlight w:val="none"/>
          <w:lang w:eastAsia="zh-CN" w:bidi="ar"/>
        </w:rPr>
        <w:t>政</w:t>
      </w:r>
      <w:r>
        <w:rPr>
          <w:rFonts w:hint="eastAsia" w:ascii="楷体_GB2312" w:hAnsi="楷体_GB2312" w:eastAsia="楷体_GB2312" w:cs="楷体_GB2312"/>
          <w:b w:val="0"/>
          <w:bCs/>
          <w:color w:val="auto"/>
          <w:spacing w:val="0"/>
          <w:w w:val="100"/>
          <w:kern w:val="2"/>
          <w:position w:val="0"/>
          <w:sz w:val="32"/>
          <w:szCs w:val="32"/>
          <w:highlight w:val="none"/>
          <w:lang w:val="en-US" w:eastAsia="zh-CN" w:bidi="ar"/>
        </w:rPr>
        <w:t>发[2022]45号）</w:t>
      </w:r>
    </w:p>
    <w:p>
      <w:pPr>
        <w:keepNext w:val="0"/>
        <w:keepLines w:val="0"/>
        <w:pageBreakBefore w:val="0"/>
        <w:widowControl/>
        <w:numPr>
          <w:ilvl w:val="0"/>
          <w:numId w:val="0"/>
        </w:numPr>
        <w:suppressLineNumbers w:val="0"/>
        <w:kinsoku/>
        <w:wordWrap/>
        <w:overflowPunct/>
        <w:topLinePunct/>
        <w:autoSpaceDE/>
        <w:autoSpaceDN/>
        <w:bidi w:val="0"/>
        <w:adjustRightInd w:val="0"/>
        <w:snapToGrid w:val="0"/>
        <w:spacing w:beforeAutospacing="0" w:afterAutospacing="0" w:line="540" w:lineRule="exact"/>
        <w:ind w:left="0" w:leftChars="0" w:right="0" w:rightChars="0" w:firstLine="640" w:firstLineChars="200"/>
        <w:jc w:val="both"/>
        <w:textAlignment w:val="baseline"/>
        <w:rPr>
          <w:rFonts w:hint="eastAsia" w:ascii="仿宋_GB2312" w:hAnsi="仿宋_GB2312" w:eastAsia="仿宋_GB2312" w:cs="仿宋_GB2312"/>
          <w:b w:val="0"/>
          <w:bCs/>
          <w:color w:val="auto"/>
          <w:spacing w:val="0"/>
          <w:w w:val="100"/>
          <w:kern w:val="0"/>
          <w:position w:val="0"/>
          <w:sz w:val="32"/>
          <w:szCs w:val="32"/>
          <w:highlight w:val="none"/>
          <w:vertAlign w:val="baseline"/>
        </w:rPr>
      </w:pPr>
      <w:r>
        <w:rPr>
          <w:rFonts w:hint="eastAsia" w:ascii="仿宋_GB2312" w:hAnsi="仿宋_GB2312" w:eastAsia="仿宋_GB2312" w:cs="仿宋_GB2312"/>
          <w:b w:val="0"/>
          <w:bCs/>
          <w:color w:val="auto"/>
          <w:spacing w:val="0"/>
          <w:w w:val="100"/>
          <w:kern w:val="0"/>
          <w:position w:val="0"/>
          <w:sz w:val="32"/>
          <w:szCs w:val="32"/>
          <w:highlight w:val="none"/>
          <w:vertAlign w:val="baseline"/>
          <w:lang w:val="en-US" w:eastAsia="zh-CN" w:bidi="ar"/>
        </w:rPr>
        <w:t>a.问题内容条款</w:t>
      </w:r>
    </w:p>
    <w:tbl>
      <w:tblPr>
        <w:tblStyle w:val="18"/>
        <w:tblW w:w="5000" w:type="pct"/>
        <w:tblInd w:w="0" w:type="dxa"/>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865"/>
      </w:tblGrid>
      <w:tr>
        <w:tblPrEx>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tblCellMar>
            <w:top w:w="0" w:type="dxa"/>
            <w:left w:w="0" w:type="dxa"/>
            <w:bottom w:w="0" w:type="dxa"/>
            <w:right w:w="0" w:type="dxa"/>
          </w:tblCellMar>
        </w:tblPrEx>
        <w:trPr>
          <w:trHeight w:val="711" w:hRule="atLeast"/>
        </w:trPr>
        <w:tc>
          <w:tcPr>
            <w:tcW w:w="5000" w:type="pct"/>
            <w:tcBorders>
              <w:top w:val="single" w:color="000000" w:sz="8" w:space="0"/>
              <w:left w:val="single" w:color="000000" w:sz="8" w:space="0"/>
              <w:bottom w:val="single" w:color="000000" w:sz="8" w:space="0"/>
              <w:right w:val="single" w:color="000000" w:sz="8" w:space="0"/>
            </w:tcBorders>
            <w:shd w:val="clear" w:color="auto" w:fill="auto"/>
            <w:vAlign w:val="top"/>
          </w:tcPr>
          <w:p>
            <w:pPr>
              <w:pStyle w:val="12"/>
              <w:keepNext w:val="0"/>
              <w:keepLines w:val="0"/>
              <w:pageBreakBefore w:val="0"/>
              <w:widowControl/>
              <w:suppressLineNumbers w:val="0"/>
              <w:kinsoku/>
              <w:wordWrap/>
              <w:overflowPunct/>
              <w:topLinePunct/>
              <w:autoSpaceDE/>
              <w:autoSpaceDN/>
              <w:bidi w:val="0"/>
              <w:spacing w:before="0" w:beforeAutospacing="0" w:after="0" w:afterAutospacing="0" w:line="540" w:lineRule="exact"/>
              <w:ind w:left="0" w:leftChars="0" w:right="0" w:firstLine="600" w:firstLineChars="200"/>
              <w:jc w:val="both"/>
              <w:rPr>
                <w:rFonts w:hint="eastAsia" w:ascii="仿宋_GB2312" w:hAnsi="仿宋_GB2312" w:eastAsia="仿宋_GB2312" w:cs="仿宋_GB2312"/>
                <w:b w:val="0"/>
                <w:bCs/>
                <w:color w:val="auto"/>
                <w:spacing w:val="0"/>
                <w:w w:val="100"/>
                <w:kern w:val="2"/>
                <w:position w:val="0"/>
                <w:sz w:val="30"/>
                <w:szCs w:val="30"/>
                <w:highlight w:val="none"/>
                <w:u w:val="none"/>
                <w:lang w:val="en-US" w:eastAsia="zh-CN" w:bidi="ar"/>
              </w:rPr>
            </w:pPr>
            <w:r>
              <w:rPr>
                <w:rFonts w:hint="eastAsia" w:ascii="仿宋_GB2312" w:hAnsi="仿宋_GB2312" w:eastAsia="仿宋_GB2312" w:cs="仿宋_GB2312"/>
                <w:b w:val="0"/>
                <w:bCs/>
                <w:color w:val="auto"/>
                <w:spacing w:val="0"/>
                <w:w w:val="100"/>
                <w:kern w:val="2"/>
                <w:position w:val="0"/>
                <w:sz w:val="30"/>
                <w:szCs w:val="30"/>
                <w:highlight w:val="none"/>
                <w:lang w:val="en-US" w:eastAsia="zh-CN" w:bidi="ar"/>
              </w:rPr>
              <w:t>（三）种业科技创新工程。安排325万元，用于以下3个项目建设。（1）安排50万元，支持龙头企业建立技术设备先进、运转高效的研发机构，组建科研团队，开展农作物商业化育种，对当年新选育的国审品种每个补贴20万元；对新选育的省审玉米品种每个补贴10万元。</w:t>
            </w:r>
            <w:r>
              <w:rPr>
                <w:rFonts w:hint="eastAsia" w:ascii="仿宋_GB2312" w:hAnsi="仿宋_GB2312" w:eastAsia="仿宋_GB2312" w:cs="仿宋_GB2312"/>
                <w:b w:val="0"/>
                <w:bCs/>
                <w:color w:val="auto"/>
                <w:spacing w:val="0"/>
                <w:w w:val="100"/>
                <w:kern w:val="2"/>
                <w:position w:val="0"/>
                <w:sz w:val="30"/>
                <w:szCs w:val="30"/>
                <w:highlight w:val="none"/>
                <w:u w:val="single"/>
                <w:lang w:val="en-US" w:eastAsia="zh-CN" w:bidi="ar"/>
              </w:rPr>
              <w:t>对辖区企业取得植物新品种权品种企业进行奖补</w:t>
            </w:r>
            <w:r>
              <w:rPr>
                <w:rFonts w:hint="eastAsia" w:ascii="仿宋_GB2312" w:hAnsi="仿宋_GB2312" w:eastAsia="仿宋_GB2312" w:cs="仿宋_GB2312"/>
                <w:b w:val="0"/>
                <w:bCs/>
                <w:color w:val="auto"/>
                <w:spacing w:val="0"/>
                <w:w w:val="100"/>
                <w:kern w:val="2"/>
                <w:position w:val="0"/>
                <w:sz w:val="30"/>
                <w:szCs w:val="30"/>
                <w:highlight w:val="none"/>
                <w:u w:val="none"/>
                <w:lang w:val="en-US" w:eastAsia="zh-CN" w:bidi="ar"/>
              </w:rPr>
              <w:t>，对有两个知识产权人的按补贴资金的60%、40%比例予以补贴，有三个知识产权人的前三名按补贴资金的50%、30%、20%比例补贴。</w:t>
            </w:r>
            <w:r>
              <w:rPr>
                <w:rFonts w:hint="eastAsia" w:ascii="仿宋_GB2312" w:hAnsi="仿宋_GB2312" w:eastAsia="仿宋_GB2312" w:cs="仿宋_GB2312"/>
                <w:b w:val="0"/>
                <w:bCs/>
                <w:color w:val="auto"/>
                <w:spacing w:val="0"/>
                <w:w w:val="100"/>
                <w:kern w:val="2"/>
                <w:position w:val="0"/>
                <w:sz w:val="30"/>
                <w:szCs w:val="30"/>
                <w:highlight w:val="none"/>
                <w:lang w:val="en-US" w:eastAsia="zh-CN" w:bidi="ar"/>
              </w:rPr>
              <w:t>有购买玉米新品种权套取补贴资金行为的，取消补贴。（2）安排75万元，用于支持我县玉米制种生产托管服务示范、玉米制种智能物联网水肥一体化示范、玉米制种标准化生产技术示范、玉米制种机械化示范、玉米制种绿色防控示范5个省级示范点创建工作，以及示范点农资、劳务补贴、环境整治、机械使用、宣传资料等费用支出。（3）安排200万元支持种子商业化育种中心一期项目（先行种业种子研究院）建设。（四）种子加工能力提升工程。安排670万元，用于以下3个项目建设。</w:t>
            </w:r>
            <w:r>
              <w:rPr>
                <w:rFonts w:hint="eastAsia" w:ascii="仿宋_GB2312" w:hAnsi="仿宋_GB2312" w:eastAsia="仿宋_GB2312" w:cs="仿宋_GB2312"/>
                <w:b w:val="0"/>
                <w:bCs/>
                <w:color w:val="auto"/>
                <w:spacing w:val="0"/>
                <w:w w:val="100"/>
                <w:kern w:val="2"/>
                <w:position w:val="0"/>
                <w:sz w:val="30"/>
                <w:szCs w:val="30"/>
                <w:highlight w:val="none"/>
                <w:u w:val="none"/>
                <w:lang w:val="en-US" w:eastAsia="zh-CN" w:bidi="ar"/>
              </w:rPr>
              <w:t>（1）安排200万元，支持制种企业改建果穗剥皮生产线10条，</w:t>
            </w:r>
            <w:r>
              <w:rPr>
                <w:rFonts w:hint="eastAsia" w:ascii="仿宋_GB2312" w:hAnsi="仿宋_GB2312" w:eastAsia="仿宋_GB2312" w:cs="仿宋_GB2312"/>
                <w:b w:val="0"/>
                <w:bCs/>
                <w:color w:val="auto"/>
                <w:spacing w:val="0"/>
                <w:w w:val="100"/>
                <w:kern w:val="2"/>
                <w:position w:val="0"/>
                <w:sz w:val="30"/>
                <w:szCs w:val="30"/>
                <w:highlight w:val="none"/>
                <w:u w:val="single"/>
                <w:lang w:val="en-US" w:eastAsia="zh-CN" w:bidi="ar"/>
              </w:rPr>
              <w:t>其中隆丰祥种业建设4条果穗剥皮生产线、先行种业建设4条果穗剥皮生产线，中农大康公司2条，采取“先建后补”方式补贴</w:t>
            </w:r>
            <w:r>
              <w:rPr>
                <w:rFonts w:hint="eastAsia" w:ascii="仿宋_GB2312" w:hAnsi="仿宋_GB2312" w:eastAsia="仿宋_GB2312" w:cs="仿宋_GB2312"/>
                <w:b w:val="0"/>
                <w:bCs/>
                <w:color w:val="auto"/>
                <w:spacing w:val="0"/>
                <w:w w:val="100"/>
                <w:kern w:val="2"/>
                <w:position w:val="0"/>
                <w:sz w:val="30"/>
                <w:szCs w:val="30"/>
                <w:highlight w:val="none"/>
                <w:u w:val="none"/>
                <w:lang w:val="en-US" w:eastAsia="zh-CN" w:bidi="ar"/>
              </w:rPr>
              <w:t>，补贴金额不超过企业投资金额的30%。</w:t>
            </w:r>
            <w:r>
              <w:rPr>
                <w:rFonts w:hint="eastAsia" w:ascii="仿宋_GB2312" w:hAnsi="仿宋_GB2312" w:eastAsia="仿宋_GB2312" w:cs="仿宋_GB2312"/>
                <w:b w:val="0"/>
                <w:bCs/>
                <w:color w:val="auto"/>
                <w:spacing w:val="0"/>
                <w:w w:val="100"/>
                <w:kern w:val="2"/>
                <w:position w:val="0"/>
                <w:sz w:val="30"/>
                <w:szCs w:val="30"/>
                <w:highlight w:val="none"/>
                <w:lang w:val="en-US" w:eastAsia="zh-CN" w:bidi="ar"/>
              </w:rPr>
              <w:t>（2）安排400万元在高台先行种业加工厂内建设公共使用的种子小包装生产线1条。</w:t>
            </w:r>
            <w:r>
              <w:rPr>
                <w:rFonts w:hint="eastAsia" w:ascii="仿宋_GB2312" w:hAnsi="仿宋_GB2312" w:eastAsia="仿宋_GB2312" w:cs="仿宋_GB2312"/>
                <w:b w:val="0"/>
                <w:bCs/>
                <w:color w:val="auto"/>
                <w:spacing w:val="0"/>
                <w:w w:val="100"/>
                <w:kern w:val="2"/>
                <w:position w:val="0"/>
                <w:sz w:val="30"/>
                <w:szCs w:val="30"/>
                <w:highlight w:val="none"/>
                <w:u w:val="none"/>
                <w:lang w:val="en-US" w:eastAsia="zh-CN" w:bidi="ar"/>
              </w:rPr>
              <w:t>（3）安排70万元，</w:t>
            </w:r>
            <w:r>
              <w:rPr>
                <w:rFonts w:hint="eastAsia" w:ascii="仿宋_GB2312" w:hAnsi="仿宋_GB2312" w:eastAsia="仿宋_GB2312" w:cs="仿宋_GB2312"/>
                <w:b w:val="0"/>
                <w:bCs/>
                <w:color w:val="auto"/>
                <w:spacing w:val="0"/>
                <w:w w:val="100"/>
                <w:kern w:val="2"/>
                <w:position w:val="0"/>
                <w:sz w:val="30"/>
                <w:szCs w:val="30"/>
                <w:highlight w:val="none"/>
                <w:u w:val="single"/>
                <w:lang w:val="en-US" w:eastAsia="zh-CN" w:bidi="ar"/>
              </w:rPr>
              <w:t>扶持高台中农大康科技开发有限公司改造种子果穗及籽粒生产线燃煤锅炉2台，其中果穗烘干线热风炉1台，籽粒烘干线热风炉1台，采取“先建后补”方式补贴</w:t>
            </w:r>
            <w:r>
              <w:rPr>
                <w:rFonts w:hint="eastAsia" w:ascii="仿宋_GB2312" w:hAnsi="仿宋_GB2312" w:eastAsia="仿宋_GB2312" w:cs="仿宋_GB2312"/>
                <w:b w:val="0"/>
                <w:bCs/>
                <w:color w:val="auto"/>
                <w:spacing w:val="0"/>
                <w:w w:val="100"/>
                <w:kern w:val="2"/>
                <w:position w:val="0"/>
                <w:sz w:val="30"/>
                <w:szCs w:val="30"/>
                <w:highlight w:val="none"/>
                <w:u w:val="none"/>
                <w:lang w:val="en-US" w:eastAsia="zh-CN" w:bidi="ar"/>
              </w:rPr>
              <w:t>，补贴金额不超过企业投资金额的30%。</w:t>
            </w:r>
          </w:p>
          <w:p>
            <w:pPr>
              <w:pStyle w:val="12"/>
              <w:keepNext w:val="0"/>
              <w:keepLines w:val="0"/>
              <w:pageBreakBefore w:val="0"/>
              <w:widowControl/>
              <w:suppressLineNumbers w:val="0"/>
              <w:kinsoku/>
              <w:wordWrap/>
              <w:overflowPunct/>
              <w:topLinePunct/>
              <w:autoSpaceDE/>
              <w:autoSpaceDN/>
              <w:bidi w:val="0"/>
              <w:spacing w:before="0" w:beforeAutospacing="0" w:after="0" w:afterAutospacing="0" w:line="540" w:lineRule="exact"/>
              <w:ind w:left="0" w:leftChars="0" w:right="0" w:firstLine="600" w:firstLineChars="200"/>
              <w:jc w:val="both"/>
              <w:rPr>
                <w:rFonts w:hint="eastAsia" w:ascii="仿宋_GB2312" w:hAnsi="仿宋_GB2312" w:eastAsia="仿宋_GB2312" w:cs="仿宋_GB2312"/>
                <w:b w:val="0"/>
                <w:bCs/>
                <w:color w:val="auto"/>
                <w:spacing w:val="0"/>
                <w:w w:val="100"/>
                <w:kern w:val="2"/>
                <w:position w:val="0"/>
                <w:sz w:val="30"/>
                <w:szCs w:val="30"/>
                <w:highlight w:val="none"/>
                <w:u w:val="none"/>
                <w:lang w:val="en-US" w:eastAsia="zh-CN" w:bidi="ar"/>
              </w:rPr>
            </w:pPr>
          </w:p>
        </w:tc>
      </w:tr>
    </w:tbl>
    <w:p>
      <w:pPr>
        <w:keepNext w:val="0"/>
        <w:keepLines w:val="0"/>
        <w:pageBreakBefore w:val="0"/>
        <w:widowControl/>
        <w:suppressLineNumbers w:val="0"/>
        <w:kinsoku/>
        <w:wordWrap/>
        <w:overflowPunct/>
        <w:topLinePunct/>
        <w:autoSpaceDE/>
        <w:autoSpaceDN/>
        <w:bidi w:val="0"/>
        <w:adjustRightInd w:val="0"/>
        <w:snapToGrid w:val="0"/>
        <w:spacing w:beforeAutospacing="0" w:afterAutospacing="0" w:line="540" w:lineRule="exact"/>
        <w:ind w:left="0" w:leftChars="0" w:right="0" w:firstLine="640" w:firstLineChars="200"/>
        <w:jc w:val="both"/>
        <w:textAlignment w:val="baseline"/>
        <w:rPr>
          <w:rFonts w:hint="eastAsia" w:ascii="仿宋_GB2312" w:hAnsi="仿宋_GB2312" w:eastAsia="仿宋_GB2312" w:cs="仿宋_GB2312"/>
          <w:b w:val="0"/>
          <w:bCs/>
          <w:color w:val="auto"/>
          <w:spacing w:val="0"/>
          <w:w w:val="100"/>
          <w:kern w:val="0"/>
          <w:position w:val="0"/>
          <w:sz w:val="32"/>
          <w:szCs w:val="32"/>
          <w:highlight w:val="none"/>
          <w:vertAlign w:val="baseline"/>
          <w:lang w:val="en-US" w:eastAsia="zh-CN" w:bidi="ar"/>
        </w:rPr>
      </w:pPr>
      <w:r>
        <w:rPr>
          <w:rFonts w:hint="eastAsia" w:ascii="仿宋_GB2312" w:hAnsi="仿宋_GB2312" w:eastAsia="仿宋_GB2312" w:cs="仿宋_GB2312"/>
          <w:b w:val="0"/>
          <w:bCs/>
          <w:color w:val="auto"/>
          <w:spacing w:val="0"/>
          <w:w w:val="100"/>
          <w:kern w:val="0"/>
          <w:position w:val="0"/>
          <w:sz w:val="32"/>
          <w:szCs w:val="32"/>
          <w:highlight w:val="none"/>
          <w:vertAlign w:val="baseline"/>
          <w:lang w:val="en-US" w:eastAsia="zh-CN" w:bidi="ar"/>
        </w:rPr>
        <w:t>b.剖析论证</w:t>
      </w:r>
    </w:p>
    <w:p>
      <w:pPr>
        <w:keepNext w:val="0"/>
        <w:keepLines w:val="0"/>
        <w:pageBreakBefore w:val="0"/>
        <w:widowControl/>
        <w:numPr>
          <w:ilvl w:val="0"/>
          <w:numId w:val="0"/>
        </w:numPr>
        <w:suppressLineNumbers w:val="0"/>
        <w:kinsoku/>
        <w:wordWrap/>
        <w:overflowPunct/>
        <w:topLinePunct/>
        <w:autoSpaceDE/>
        <w:autoSpaceDN/>
        <w:bidi w:val="0"/>
        <w:adjustRightInd/>
        <w:snapToGrid/>
        <w:spacing w:beforeAutospacing="0" w:afterAutospacing="0" w:line="580" w:lineRule="exact"/>
        <w:ind w:left="0" w:leftChars="0" w:right="0" w:rightChars="0" w:firstLine="640" w:firstLineChars="200"/>
        <w:jc w:val="both"/>
        <w:textAlignment w:val="auto"/>
        <w:rPr>
          <w:rFonts w:hint="eastAsia" w:ascii="仿宋_GB2312" w:hAnsi="仿宋_GB2312" w:eastAsia="仿宋_GB2312" w:cs="仿宋_GB2312"/>
          <w:b w:val="0"/>
          <w:bCs/>
          <w:color w:val="auto"/>
          <w:spacing w:val="0"/>
          <w:w w:val="100"/>
          <w:position w:val="0"/>
          <w:sz w:val="32"/>
          <w:szCs w:val="32"/>
          <w:highlight w:val="none"/>
        </w:rPr>
      </w:pPr>
      <w:r>
        <w:rPr>
          <w:rFonts w:hint="eastAsia" w:ascii="仿宋_GB2312" w:hAnsi="仿宋_GB2312" w:eastAsia="仿宋_GB2312" w:cs="仿宋_GB2312"/>
          <w:b w:val="0"/>
          <w:bCs/>
          <w:snapToGrid/>
          <w:color w:val="auto"/>
          <w:spacing w:val="0"/>
          <w:w w:val="100"/>
          <w:kern w:val="0"/>
          <w:position w:val="0"/>
          <w:sz w:val="32"/>
          <w:szCs w:val="32"/>
          <w:highlight w:val="none"/>
          <w:lang w:eastAsia="zh-CN" w:bidi="ar"/>
        </w:rPr>
        <w:t>文件内容违反《公平竞争审查制度实施细则》“第十五条</w:t>
      </w:r>
      <w:r>
        <w:rPr>
          <w:rFonts w:hint="eastAsia" w:ascii="仿宋_GB2312" w:hAnsi="仿宋_GB2312" w:eastAsia="仿宋_GB2312" w:cs="仿宋_GB2312"/>
          <w:b w:val="0"/>
          <w:bCs/>
          <w:snapToGrid/>
          <w:color w:val="auto"/>
          <w:spacing w:val="0"/>
          <w:w w:val="100"/>
          <w:kern w:val="0"/>
          <w:position w:val="0"/>
          <w:sz w:val="32"/>
          <w:szCs w:val="32"/>
          <w:highlight w:val="none"/>
          <w:lang w:val="en-US" w:eastAsia="zh-CN" w:bidi="ar"/>
        </w:rPr>
        <w:t>影响生产经营成本</w:t>
      </w:r>
      <w:r>
        <w:rPr>
          <w:rFonts w:hint="eastAsia" w:ascii="仿宋_GB2312" w:hAnsi="仿宋_GB2312" w:eastAsia="仿宋_GB2312" w:cs="仿宋_GB2312"/>
          <w:b w:val="0"/>
          <w:bCs/>
          <w:snapToGrid/>
          <w:color w:val="auto"/>
          <w:spacing w:val="0"/>
          <w:w w:val="100"/>
          <w:kern w:val="0"/>
          <w:position w:val="0"/>
          <w:sz w:val="32"/>
          <w:szCs w:val="32"/>
          <w:highlight w:val="none"/>
          <w:lang w:eastAsia="zh-CN" w:bidi="ar"/>
        </w:rPr>
        <w:t>标准</w:t>
      </w:r>
      <w:r>
        <w:rPr>
          <w:rFonts w:hint="eastAsia" w:ascii="仿宋_GB2312" w:hAnsi="仿宋_GB2312" w:eastAsia="仿宋_GB2312" w:cs="仿宋_GB2312"/>
          <w:b w:val="0"/>
          <w:bCs/>
          <w:color w:val="auto"/>
          <w:spacing w:val="0"/>
          <w:w w:val="100"/>
          <w:kern w:val="2"/>
          <w:position w:val="0"/>
          <w:sz w:val="32"/>
          <w:szCs w:val="32"/>
          <w:highlight w:val="none"/>
          <w:lang w:val="en-US" w:eastAsia="zh-CN" w:bidi="ar"/>
        </w:rPr>
        <w:t>（一）不得违法给予特定经营者优惠政策、包括但不限于：1.没有法律、行政法规或者国务院规定依据，给予特定经营者财政奖励和补贴”的规定。</w:t>
      </w:r>
    </w:p>
    <w:p>
      <w:pPr>
        <w:keepNext w:val="0"/>
        <w:keepLines w:val="0"/>
        <w:pageBreakBefore w:val="0"/>
        <w:widowControl/>
        <w:suppressLineNumbers w:val="0"/>
        <w:kinsoku/>
        <w:wordWrap/>
        <w:overflowPunct/>
        <w:topLinePunct/>
        <w:autoSpaceDE/>
        <w:autoSpaceDN/>
        <w:bidi w:val="0"/>
        <w:snapToGrid/>
        <w:spacing w:before="157" w:beforeLines="50" w:beforeAutospacing="0" w:after="157" w:afterLines="50" w:afterAutospacing="0" w:line="540" w:lineRule="exact"/>
        <w:ind w:left="0" w:leftChars="0" w:right="0" w:rightChars="0" w:firstLine="640" w:firstLineChars="200"/>
        <w:jc w:val="both"/>
        <w:outlineLvl w:val="0"/>
        <w:rPr>
          <w:rFonts w:hint="eastAsia" w:ascii="黑体" w:hAnsi="黑体" w:eastAsia="黑体" w:cs="黑体"/>
          <w:b w:val="0"/>
          <w:bCs/>
          <w:color w:val="auto"/>
          <w:spacing w:val="0"/>
          <w:kern w:val="2"/>
          <w:position w:val="0"/>
          <w:sz w:val="32"/>
          <w:szCs w:val="32"/>
          <w:lang w:val="en-US" w:eastAsia="zh-CN" w:bidi="ar"/>
        </w:rPr>
      </w:pPr>
      <w:bookmarkStart w:id="17" w:name="_Toc8506"/>
      <w:r>
        <w:rPr>
          <w:rFonts w:hint="eastAsia" w:ascii="黑体" w:hAnsi="黑体" w:eastAsia="黑体" w:cs="黑体"/>
          <w:b w:val="0"/>
          <w:bCs/>
          <w:color w:val="auto"/>
          <w:spacing w:val="0"/>
          <w:kern w:val="2"/>
          <w:position w:val="0"/>
          <w:sz w:val="32"/>
          <w:szCs w:val="32"/>
          <w:lang w:val="en-US" w:eastAsia="zh-CN" w:bidi="ar"/>
        </w:rPr>
        <w:t>三、评估结果</w:t>
      </w:r>
      <w:bookmarkEnd w:id="17"/>
    </w:p>
    <w:p>
      <w:pPr>
        <w:keepNext w:val="0"/>
        <w:keepLines w:val="0"/>
        <w:pageBreakBefore w:val="0"/>
        <w:widowControl w:val="0"/>
        <w:kinsoku/>
        <w:wordWrap/>
        <w:overflowPunct/>
        <w:topLinePunct w:val="0"/>
        <w:autoSpaceDE/>
        <w:autoSpaceDN/>
        <w:bidi w:val="0"/>
        <w:adjustRightInd/>
        <w:snapToGrid/>
        <w:spacing w:beforeAutospacing="0" w:afterAutospacing="0" w:line="580" w:lineRule="exact"/>
        <w:ind w:right="0" w:firstLine="640" w:firstLineChars="200"/>
        <w:jc w:val="both"/>
        <w:textAlignment w:val="auto"/>
        <w:outlineLvl w:val="9"/>
        <w:rPr>
          <w:rFonts w:hint="eastAsia" w:ascii="仿宋_GB2312" w:hAnsi="仿宋_GB2312" w:eastAsia="仿宋_GB2312" w:cs="仿宋_GB2312"/>
          <w:b w:val="0"/>
          <w:bCs/>
          <w:color w:val="auto"/>
          <w:spacing w:val="0"/>
          <w:position w:val="0"/>
          <w:sz w:val="32"/>
          <w:szCs w:val="32"/>
          <w:lang w:val="en-US" w:eastAsia="zh-CN"/>
        </w:rPr>
      </w:pPr>
      <w:r>
        <w:rPr>
          <w:rFonts w:hint="eastAsia" w:ascii="仿宋_GB2312" w:hAnsi="仿宋_GB2312" w:eastAsia="仿宋_GB2312" w:cs="仿宋_GB2312"/>
          <w:b w:val="0"/>
          <w:bCs/>
          <w:color w:val="auto"/>
          <w:spacing w:val="0"/>
          <w:w w:val="100"/>
          <w:position w:val="0"/>
          <w:sz w:val="32"/>
          <w:szCs w:val="32"/>
        </w:rPr>
        <w:t>根据《甘肃省市场监管局等四部门关于进一步推进落实公平竞争审查工作的通知》</w:t>
      </w:r>
      <w:r>
        <w:rPr>
          <w:rFonts w:hint="eastAsia" w:ascii="仿宋_GB2312" w:hAnsi="仿宋_GB2312" w:eastAsia="仿宋_GB2312" w:cs="仿宋_GB2312"/>
          <w:b w:val="0"/>
          <w:bCs/>
          <w:color w:val="auto"/>
          <w:spacing w:val="0"/>
          <w:w w:val="100"/>
          <w:position w:val="0"/>
          <w:sz w:val="32"/>
          <w:szCs w:val="32"/>
          <w:lang w:eastAsia="zh-CN"/>
        </w:rPr>
        <w:t>（</w:t>
      </w:r>
      <w:r>
        <w:rPr>
          <w:rFonts w:hint="eastAsia" w:ascii="仿宋_GB2312" w:hAnsi="仿宋_GB2312" w:eastAsia="仿宋_GB2312" w:cs="仿宋_GB2312"/>
          <w:b w:val="0"/>
          <w:bCs/>
          <w:color w:val="auto"/>
          <w:spacing w:val="0"/>
          <w:w w:val="100"/>
          <w:position w:val="0"/>
          <w:sz w:val="32"/>
          <w:szCs w:val="32"/>
        </w:rPr>
        <w:t>甘市监发〔2020〕291号）及《</w:t>
      </w:r>
      <w:r>
        <w:rPr>
          <w:rFonts w:hint="eastAsia" w:ascii="仿宋_GB2312" w:hAnsi="仿宋_GB2312" w:eastAsia="仿宋_GB2312" w:cs="仿宋_GB2312"/>
          <w:b w:val="0"/>
          <w:bCs/>
          <w:color w:val="auto"/>
          <w:spacing w:val="0"/>
          <w:w w:val="100"/>
          <w:position w:val="0"/>
          <w:sz w:val="32"/>
          <w:szCs w:val="32"/>
          <w:lang w:val="en-US" w:eastAsia="zh-CN"/>
        </w:rPr>
        <w:t>张掖市公平竞争审查工作部门联席会议办公室关于开展公平竞争审查工作第三方评估的通知</w:t>
      </w:r>
      <w:r>
        <w:rPr>
          <w:rFonts w:hint="eastAsia" w:ascii="仿宋_GB2312" w:hAnsi="仿宋_GB2312" w:eastAsia="仿宋_GB2312" w:cs="仿宋_GB2312"/>
          <w:b w:val="0"/>
          <w:bCs/>
          <w:color w:val="auto"/>
          <w:spacing w:val="0"/>
          <w:w w:val="100"/>
          <w:position w:val="0"/>
          <w:sz w:val="32"/>
          <w:szCs w:val="32"/>
        </w:rPr>
        <w:t>》</w:t>
      </w:r>
      <w:r>
        <w:rPr>
          <w:rFonts w:hint="eastAsia" w:ascii="仿宋_GB2312" w:hAnsi="仿宋_GB2312" w:eastAsia="仿宋_GB2312" w:cs="仿宋_GB2312"/>
          <w:b w:val="0"/>
          <w:bCs/>
          <w:color w:val="auto"/>
          <w:spacing w:val="0"/>
          <w:w w:val="100"/>
          <w:position w:val="0"/>
          <w:sz w:val="32"/>
          <w:szCs w:val="32"/>
          <w:lang w:eastAsia="zh-CN"/>
        </w:rPr>
        <w:t>（</w:t>
      </w:r>
      <w:r>
        <w:rPr>
          <w:rFonts w:hint="eastAsia" w:ascii="仿宋_GB2312" w:hAnsi="仿宋_GB2312" w:eastAsia="仿宋_GB2312" w:cs="仿宋_GB2312"/>
          <w:b w:val="0"/>
          <w:bCs/>
          <w:color w:val="auto"/>
          <w:spacing w:val="0"/>
          <w:w w:val="100"/>
          <w:position w:val="0"/>
          <w:sz w:val="32"/>
          <w:szCs w:val="32"/>
          <w:lang w:val="en-US" w:eastAsia="zh-CN"/>
        </w:rPr>
        <w:t>张公竞</w:t>
      </w:r>
      <w:r>
        <w:rPr>
          <w:rFonts w:hint="eastAsia" w:ascii="仿宋_GB2312" w:hAnsi="仿宋_GB2312" w:eastAsia="仿宋_GB2312" w:cs="仿宋_GB2312"/>
          <w:b w:val="0"/>
          <w:bCs/>
          <w:color w:val="auto"/>
          <w:spacing w:val="0"/>
          <w:w w:val="100"/>
          <w:position w:val="0"/>
          <w:sz w:val="32"/>
          <w:szCs w:val="32"/>
        </w:rPr>
        <w:t>〔202</w:t>
      </w:r>
      <w:r>
        <w:rPr>
          <w:rFonts w:hint="eastAsia" w:ascii="仿宋_GB2312" w:hAnsi="仿宋_GB2312" w:eastAsia="仿宋_GB2312" w:cs="仿宋_GB2312"/>
          <w:b w:val="0"/>
          <w:bCs/>
          <w:color w:val="auto"/>
          <w:spacing w:val="0"/>
          <w:w w:val="100"/>
          <w:position w:val="0"/>
          <w:sz w:val="32"/>
          <w:szCs w:val="32"/>
          <w:lang w:val="en-US" w:eastAsia="zh-CN"/>
        </w:rPr>
        <w:t>2</w:t>
      </w:r>
      <w:r>
        <w:rPr>
          <w:rFonts w:hint="eastAsia" w:ascii="仿宋_GB2312" w:hAnsi="仿宋_GB2312" w:eastAsia="仿宋_GB2312" w:cs="仿宋_GB2312"/>
          <w:b w:val="0"/>
          <w:bCs/>
          <w:color w:val="auto"/>
          <w:spacing w:val="0"/>
          <w:w w:val="100"/>
          <w:position w:val="0"/>
          <w:sz w:val="32"/>
          <w:szCs w:val="32"/>
        </w:rPr>
        <w:t>〕</w:t>
      </w:r>
      <w:r>
        <w:rPr>
          <w:rFonts w:hint="eastAsia" w:ascii="仿宋_GB2312" w:hAnsi="仿宋_GB2312" w:eastAsia="仿宋_GB2312" w:cs="仿宋_GB2312"/>
          <w:b w:val="0"/>
          <w:bCs/>
          <w:color w:val="auto"/>
          <w:spacing w:val="0"/>
          <w:w w:val="100"/>
          <w:position w:val="0"/>
          <w:sz w:val="32"/>
          <w:szCs w:val="32"/>
          <w:lang w:val="en-US" w:eastAsia="zh-CN"/>
        </w:rPr>
        <w:t>10</w:t>
      </w:r>
      <w:r>
        <w:rPr>
          <w:rFonts w:hint="eastAsia" w:ascii="仿宋_GB2312" w:hAnsi="仿宋_GB2312" w:eastAsia="仿宋_GB2312" w:cs="仿宋_GB2312"/>
          <w:b w:val="0"/>
          <w:bCs/>
          <w:color w:val="auto"/>
          <w:spacing w:val="0"/>
          <w:w w:val="100"/>
          <w:position w:val="0"/>
          <w:sz w:val="32"/>
          <w:szCs w:val="32"/>
        </w:rPr>
        <w:t>号</w:t>
      </w:r>
      <w:r>
        <w:rPr>
          <w:rFonts w:hint="eastAsia" w:ascii="仿宋_GB2312" w:hAnsi="仿宋_GB2312" w:eastAsia="仿宋_GB2312" w:cs="仿宋_GB2312"/>
          <w:b w:val="0"/>
          <w:bCs/>
          <w:color w:val="auto"/>
          <w:spacing w:val="0"/>
          <w:w w:val="100"/>
          <w:position w:val="0"/>
          <w:sz w:val="32"/>
          <w:szCs w:val="32"/>
          <w:lang w:eastAsia="zh-CN"/>
        </w:rPr>
        <w:t>）</w:t>
      </w:r>
      <w:r>
        <w:rPr>
          <w:rFonts w:hint="eastAsia" w:ascii="仿宋_GB2312" w:hAnsi="仿宋_GB2312" w:eastAsia="仿宋_GB2312" w:cs="仿宋_GB2312"/>
          <w:b w:val="0"/>
          <w:bCs/>
          <w:color w:val="auto"/>
          <w:spacing w:val="0"/>
          <w:w w:val="100"/>
          <w:position w:val="0"/>
          <w:sz w:val="32"/>
          <w:szCs w:val="32"/>
        </w:rPr>
        <w:t>文件要求</w:t>
      </w:r>
      <w:r>
        <w:rPr>
          <w:rFonts w:hint="eastAsia" w:ascii="仿宋_GB2312" w:hAnsi="仿宋_GB2312" w:eastAsia="仿宋_GB2312" w:cs="仿宋_GB2312"/>
          <w:b w:val="0"/>
          <w:bCs/>
          <w:color w:val="auto"/>
          <w:spacing w:val="0"/>
          <w:w w:val="100"/>
          <w:position w:val="0"/>
          <w:sz w:val="32"/>
          <w:szCs w:val="32"/>
          <w:lang w:eastAsia="zh-CN"/>
        </w:rPr>
        <w:t>，</w:t>
      </w:r>
      <w:r>
        <w:rPr>
          <w:rFonts w:hint="eastAsia" w:ascii="仿宋_GB2312" w:hAnsi="仿宋_GB2312" w:eastAsia="仿宋_GB2312" w:cs="仿宋_GB2312"/>
          <w:b w:val="0"/>
          <w:bCs/>
          <w:color w:val="auto"/>
          <w:spacing w:val="0"/>
          <w:w w:val="100"/>
          <w:position w:val="0"/>
          <w:sz w:val="32"/>
          <w:szCs w:val="32"/>
          <w:lang w:val="en-US" w:eastAsia="zh-CN"/>
        </w:rPr>
        <w:t>高台县</w:t>
      </w:r>
      <w:r>
        <w:rPr>
          <w:rFonts w:hint="eastAsia" w:ascii="仿宋_GB2312" w:hAnsi="仿宋_GB2312" w:eastAsia="仿宋_GB2312" w:cs="仿宋_GB2312"/>
          <w:b w:val="0"/>
          <w:bCs/>
          <w:color w:val="auto"/>
          <w:spacing w:val="0"/>
          <w:position w:val="0"/>
          <w:sz w:val="32"/>
          <w:szCs w:val="32"/>
          <w:lang w:val="en-US" w:eastAsia="zh-CN"/>
        </w:rPr>
        <w:t>公平竞争审查工作得分如下：</w:t>
      </w:r>
    </w:p>
    <w:p>
      <w:pPr>
        <w:pStyle w:val="2"/>
        <w:rPr>
          <w:rFonts w:hint="eastAsia" w:ascii="仿宋_GB2312" w:hAnsi="仿宋_GB2312" w:eastAsia="仿宋_GB2312" w:cs="仿宋_GB2312"/>
          <w:b w:val="0"/>
          <w:bCs/>
          <w:color w:val="auto"/>
          <w:spacing w:val="0"/>
          <w:position w:val="0"/>
          <w:sz w:val="32"/>
          <w:szCs w:val="32"/>
          <w:lang w:val="en-US" w:eastAsia="zh-CN"/>
        </w:rPr>
      </w:pPr>
    </w:p>
    <w:p>
      <w:pPr>
        <w:rPr>
          <w:rFonts w:hint="eastAsia" w:ascii="仿宋_GB2312" w:hAnsi="仿宋_GB2312" w:eastAsia="仿宋_GB2312" w:cs="仿宋_GB2312"/>
          <w:b w:val="0"/>
          <w:bCs/>
          <w:color w:val="auto"/>
          <w:spacing w:val="0"/>
          <w:position w:val="0"/>
          <w:sz w:val="32"/>
          <w:szCs w:val="32"/>
          <w:lang w:val="en-US" w:eastAsia="zh-CN"/>
        </w:rPr>
      </w:pPr>
    </w:p>
    <w:p>
      <w:pPr>
        <w:pStyle w:val="2"/>
        <w:rPr>
          <w:rFonts w:hint="eastAsia"/>
          <w:color w:val="auto"/>
          <w:lang w:val="en-US" w:eastAsia="zh-CN"/>
        </w:rPr>
      </w:pPr>
    </w:p>
    <w:p>
      <w:pPr>
        <w:pStyle w:val="2"/>
        <w:ind w:firstLine="640" w:firstLineChars="200"/>
        <w:outlineLvl w:val="1"/>
        <w:rPr>
          <w:rFonts w:hint="eastAsia" w:ascii="楷体_GB2312" w:hAnsi="楷体_GB2312" w:eastAsia="楷体_GB2312" w:cs="楷体_GB2312"/>
          <w:b w:val="0"/>
          <w:bCs/>
          <w:color w:val="auto"/>
          <w:spacing w:val="0"/>
          <w:kern w:val="2"/>
          <w:position w:val="0"/>
          <w:sz w:val="32"/>
          <w:szCs w:val="32"/>
          <w:lang w:val="en-US" w:eastAsia="zh-CN" w:bidi="ar"/>
        </w:rPr>
      </w:pPr>
      <w:bookmarkStart w:id="18" w:name="_Toc9063"/>
      <w:bookmarkStart w:id="19" w:name="_Toc26518"/>
      <w:r>
        <w:rPr>
          <w:rFonts w:hint="eastAsia" w:ascii="楷体_GB2312" w:hAnsi="楷体_GB2312" w:eastAsia="楷体_GB2312" w:cs="楷体_GB2312"/>
          <w:b w:val="0"/>
          <w:bCs/>
          <w:color w:val="auto"/>
          <w:spacing w:val="0"/>
          <w:kern w:val="2"/>
          <w:position w:val="0"/>
          <w:sz w:val="32"/>
          <w:szCs w:val="32"/>
          <w:lang w:val="en-US" w:eastAsia="zh-CN" w:bidi="ar"/>
        </w:rPr>
        <w:t>（一） 工作部署落实情况得分</w:t>
      </w:r>
      <w:bookmarkEnd w:id="18"/>
      <w:bookmarkEnd w:id="19"/>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eastAsia" w:ascii="黑体" w:hAnsi="黑体" w:eastAsia="黑体" w:cs="黑体"/>
          <w:b w:val="0"/>
          <w:bCs/>
          <w:color w:val="auto"/>
          <w:spacing w:val="0"/>
          <w:kern w:val="2"/>
          <w:position w:val="0"/>
          <w:sz w:val="24"/>
          <w:szCs w:val="30"/>
          <w:lang w:val="en-US" w:eastAsia="zh-CN" w:bidi="ar"/>
        </w:rPr>
      </w:pPr>
      <w:r>
        <w:rPr>
          <w:rFonts w:hint="eastAsia" w:ascii="黑体" w:hAnsi="黑体" w:eastAsia="黑体" w:cs="黑体"/>
          <w:b w:val="0"/>
          <w:bCs/>
          <w:color w:val="auto"/>
          <w:spacing w:val="0"/>
          <w:kern w:val="2"/>
          <w:position w:val="0"/>
          <w:sz w:val="24"/>
          <w:szCs w:val="30"/>
          <w:lang w:val="en-US" w:eastAsia="zh-CN" w:bidi="ar"/>
        </w:rPr>
        <w:t>表1：公平竞争审查工作部署落实情况评分表</w:t>
      </w:r>
    </w:p>
    <w:tbl>
      <w:tblPr>
        <w:tblStyle w:val="14"/>
        <w:tblW w:w="89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52"/>
        <w:gridCol w:w="924"/>
        <w:gridCol w:w="2145"/>
        <w:gridCol w:w="4488"/>
        <w:gridCol w:w="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666" w:hRule="atLeast"/>
        </w:trPr>
        <w:tc>
          <w:tcPr>
            <w:tcW w:w="8948"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指标</w:t>
            </w:r>
          </w:p>
        </w:tc>
        <w:tc>
          <w:tcPr>
            <w:tcW w:w="9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指标</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指标评价内容</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评分标准</w:t>
            </w:r>
          </w:p>
        </w:tc>
        <w:tc>
          <w:tcPr>
            <w:tcW w:w="5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84" w:hRule="atLeast"/>
        </w:trPr>
        <w:tc>
          <w:tcPr>
            <w:tcW w:w="852"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工作部署落实情况（45分）</w:t>
            </w:r>
          </w:p>
        </w:tc>
        <w:tc>
          <w:tcPr>
            <w:tcW w:w="9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印发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方案</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印发公平竞争审查方案（5分）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根据是否印发建立公平竞争审查制度的实施通知/实施方案等文件进行判断。</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3"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建立相应审查机制</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建立公平竞争审查机制（10分）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有报批文件、通知文件、审批流程文件或已建立的公平竞争审查制度、方案。</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3"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建立投诉举报回应机制（5分）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有相关文件、资料。</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3"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引入第三方审查机制（5分）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有第三方评估报告、专家意见等文件。</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安排</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部署</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公平竞争审查人员组成及运行状况（5分）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有具体的人员组成和分工。</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公平竞争审查机制运行状况（5分）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根据公平竞争审查工作定期开展情况为依据进行判断（如是否形成自查报告等）。</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宣传培训</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组织面向社会公众、市场主体的公平竞争审查宣传（5分）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根据面向社会公众、企业主体介绍公平竞争审查制度情况、有组织针对性的宣传（如宣传资料、活动照片、公众号等判定）。</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内部举行公平竞争审查的学习培训（5分）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根据开展公平竞争审查专题培训情况进行判断，有组织针对性的学习和培训（如培训照片、签到表、会议记录等资料）。</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政策措施审查清理情况（40分）</w:t>
            </w: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增量措施审查情况</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提供政策措施数量（10分）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各县区提供的增量政策措施数量不能少于15份，市直单位不能少于5份。</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10</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政策措施审查是否全面（10分）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以被评估单位审查记录为准，未形成书面审查结论出台政策措施的，视为未进行公平竞争审查。</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70"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924"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存量措施清理情况</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政策措施审查是否全面（10分）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以被评估单位清理记录为准，未形成书面审查结论的，视为未进行公平竞争审查。</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92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总体</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情况</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政策措施审查是否全面、规范（5分）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根据是否有公平竞争审查工作归档记录，以及审查表、书面审查结论是否与审查文件数量一致判断</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trPr>
        <w:tc>
          <w:tcPr>
            <w:tcW w:w="852"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924"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是否形成书面审查报告（5分）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根据公平竞争审查清理工作是否形成本单位书面审查报告或年度总结报告。</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公平竞争审查工作落实成效（15分）</w:t>
            </w:r>
          </w:p>
        </w:tc>
        <w:tc>
          <w:tcPr>
            <w:tcW w:w="9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社会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反馈</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社会公众及市场主体对已审查通过的政策措施无负面反馈（5分）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无负面反馈得满分。</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85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92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整改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情况</w:t>
            </w: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对妨碍公平竞争的政策措施是否进行整改（5分）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对妨碍公平竞争的政策措施已全部进行整改、废止的得满分。</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852"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924"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对妨碍公平竞争的政策措施是否及时整改（5分）</w:t>
            </w:r>
          </w:p>
        </w:tc>
        <w:tc>
          <w:tcPr>
            <w:tcW w:w="44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以评估开始日期为基准，若审查工作开始时已经完成整改或无需整改得满分。</w:t>
            </w:r>
          </w:p>
        </w:tc>
        <w:tc>
          <w:tcPr>
            <w:tcW w:w="5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17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最终得分</w:t>
            </w:r>
          </w:p>
        </w:tc>
        <w:tc>
          <w:tcPr>
            <w:tcW w:w="717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96</w:t>
            </w:r>
          </w:p>
        </w:tc>
      </w:tr>
    </w:tbl>
    <w:p>
      <w:pPr>
        <w:keepNext w:val="0"/>
        <w:keepLines w:val="0"/>
        <w:pageBreakBefore w:val="0"/>
        <w:widowControl/>
        <w:suppressLineNumbers w:val="0"/>
        <w:kinsoku/>
        <w:wordWrap/>
        <w:overflowPunct/>
        <w:topLinePunct/>
        <w:autoSpaceDE/>
        <w:autoSpaceDN/>
        <w:bidi w:val="0"/>
        <w:adjustRightInd/>
        <w:snapToGrid/>
        <w:spacing w:line="540" w:lineRule="exact"/>
        <w:ind w:left="0" w:leftChars="0" w:right="0" w:firstLine="640" w:firstLineChars="200"/>
        <w:jc w:val="both"/>
        <w:textAlignment w:val="auto"/>
        <w:outlineLvl w:val="1"/>
        <w:rPr>
          <w:rFonts w:hint="eastAsia" w:ascii="仿宋_GB2312" w:hAnsi="仿宋_GB2312" w:eastAsia="仿宋_GB2312" w:cs="仿宋_GB2312"/>
          <w:b w:val="0"/>
          <w:bCs/>
          <w:color w:val="auto"/>
          <w:spacing w:val="0"/>
          <w:w w:val="100"/>
          <w:position w:val="0"/>
          <w:sz w:val="32"/>
          <w:szCs w:val="32"/>
        </w:rPr>
      </w:pPr>
      <w:bookmarkStart w:id="20" w:name="_Toc18388"/>
      <w:r>
        <w:rPr>
          <w:rFonts w:hint="eastAsia" w:ascii="仿宋_GB2312" w:hAnsi="仿宋_GB2312" w:eastAsia="仿宋_GB2312" w:cs="仿宋_GB2312"/>
          <w:b w:val="0"/>
          <w:bCs/>
          <w:color w:val="auto"/>
          <w:spacing w:val="0"/>
          <w:w w:val="100"/>
          <w:kern w:val="0"/>
          <w:position w:val="0"/>
          <w:sz w:val="32"/>
          <w:szCs w:val="32"/>
          <w:lang w:val="en-US" w:eastAsia="zh-CN" w:bidi="ar"/>
        </w:rPr>
        <w:t>（二）政策措施抽样评估得分</w:t>
      </w:r>
      <w:bookmarkEnd w:id="20"/>
    </w:p>
    <w:p>
      <w:pPr>
        <w:keepNext w:val="0"/>
        <w:keepLines w:val="0"/>
        <w:pageBreakBefore w:val="0"/>
        <w:widowControl/>
        <w:suppressLineNumbers w:val="0"/>
        <w:kinsoku/>
        <w:wordWrap/>
        <w:overflowPunct/>
        <w:topLinePunct/>
        <w:autoSpaceDE/>
        <w:autoSpaceDN/>
        <w:bidi w:val="0"/>
        <w:adjustRightInd/>
        <w:snapToGrid/>
        <w:spacing w:line="540" w:lineRule="exact"/>
        <w:ind w:left="0" w:leftChars="0" w:right="0" w:firstLine="640" w:firstLineChars="200"/>
        <w:jc w:val="both"/>
        <w:textAlignment w:val="auto"/>
        <w:outlineLvl w:val="9"/>
        <w:rPr>
          <w:rFonts w:hint="eastAsia" w:ascii="仿宋_GB2312" w:hAnsi="仿宋_GB2312" w:eastAsia="仿宋_GB2312" w:cs="仿宋_GB2312"/>
          <w:b w:val="0"/>
          <w:bCs/>
          <w:color w:val="auto"/>
          <w:spacing w:val="0"/>
          <w:w w:val="100"/>
          <w:position w:val="0"/>
          <w:sz w:val="32"/>
          <w:szCs w:val="32"/>
        </w:rPr>
      </w:pPr>
      <w:r>
        <w:rPr>
          <w:rFonts w:hint="eastAsia" w:ascii="仿宋_GB2312" w:hAnsi="仿宋_GB2312" w:eastAsia="仿宋_GB2312" w:cs="仿宋_GB2312"/>
          <w:b w:val="0"/>
          <w:bCs/>
          <w:color w:val="auto"/>
          <w:spacing w:val="0"/>
          <w:w w:val="100"/>
          <w:kern w:val="0"/>
          <w:position w:val="0"/>
          <w:sz w:val="32"/>
          <w:szCs w:val="32"/>
          <w:lang w:val="en-US" w:eastAsia="zh-CN" w:bidi="ar"/>
        </w:rPr>
        <w:t>按照</w:t>
      </w:r>
      <w:r>
        <w:rPr>
          <w:rFonts w:hint="eastAsia" w:ascii="仿宋_GB2312" w:hAnsi="仿宋_GB2312" w:eastAsia="仿宋_GB2312" w:cs="仿宋_GB2312"/>
          <w:b w:val="0"/>
          <w:bCs/>
          <w:color w:val="auto"/>
          <w:spacing w:val="0"/>
          <w:w w:val="100"/>
          <w:kern w:val="0"/>
          <w:position w:val="0"/>
          <w:sz w:val="32"/>
          <w:szCs w:val="32"/>
          <w:highlight w:val="none"/>
          <w:lang w:val="en-US" w:eastAsia="zh-CN" w:bidi="ar"/>
        </w:rPr>
        <w:t>《张掖市公平竞争审查工作第三方评估执行手册》</w:t>
      </w:r>
      <w:r>
        <w:rPr>
          <w:rFonts w:hint="eastAsia" w:ascii="仿宋_GB2312" w:hAnsi="仿宋_GB2312" w:eastAsia="仿宋_GB2312" w:cs="仿宋_GB2312"/>
          <w:b w:val="0"/>
          <w:bCs/>
          <w:color w:val="auto"/>
          <w:spacing w:val="0"/>
          <w:w w:val="100"/>
          <w:kern w:val="0"/>
          <w:position w:val="0"/>
          <w:sz w:val="32"/>
          <w:szCs w:val="32"/>
          <w:lang w:val="en-US" w:eastAsia="zh-CN" w:bidi="ar"/>
        </w:rPr>
        <w:t>评估指标量化打分，高台县在政策措施抽样评估方面具体得分如表2所示：</w:t>
      </w:r>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eastAsia" w:ascii="黑体" w:hAnsi="黑体" w:eastAsia="黑体" w:cs="黑体"/>
          <w:b w:val="0"/>
          <w:bCs/>
          <w:color w:val="auto"/>
          <w:spacing w:val="0"/>
          <w:kern w:val="2"/>
          <w:position w:val="0"/>
          <w:sz w:val="24"/>
          <w:szCs w:val="30"/>
          <w:lang w:val="en-US" w:eastAsia="zh-CN" w:bidi="ar"/>
        </w:rPr>
      </w:pPr>
      <w:r>
        <w:rPr>
          <w:rFonts w:hint="eastAsia" w:ascii="黑体" w:hAnsi="黑体" w:eastAsia="黑体" w:cs="黑体"/>
          <w:b w:val="0"/>
          <w:bCs/>
          <w:color w:val="auto"/>
          <w:spacing w:val="0"/>
          <w:kern w:val="2"/>
          <w:position w:val="0"/>
          <w:sz w:val="24"/>
          <w:szCs w:val="30"/>
          <w:lang w:val="en-US" w:eastAsia="zh-CN" w:bidi="ar"/>
        </w:rPr>
        <w:t>表2政策措施评估结果统计表</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8"/>
        <w:gridCol w:w="3171"/>
        <w:gridCol w:w="2703"/>
        <w:gridCol w:w="961"/>
        <w:gridCol w:w="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2" w:hRule="atLeast"/>
        </w:trPr>
        <w:tc>
          <w:tcPr>
            <w:tcW w:w="137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项目</w:t>
            </w:r>
          </w:p>
        </w:tc>
        <w:tc>
          <w:tcPr>
            <w:tcW w:w="317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需要进行公平竞争审查的政策措施数量（份）</w:t>
            </w:r>
          </w:p>
        </w:tc>
        <w:tc>
          <w:tcPr>
            <w:tcW w:w="270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有违反公平竞争的政策措施数量（份）</w:t>
            </w:r>
          </w:p>
        </w:tc>
        <w:tc>
          <w:tcPr>
            <w:tcW w:w="96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差错率（%）</w:t>
            </w:r>
          </w:p>
        </w:tc>
        <w:tc>
          <w:tcPr>
            <w:tcW w:w="74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37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增量措施</w:t>
            </w:r>
          </w:p>
        </w:tc>
        <w:tc>
          <w:tcPr>
            <w:tcW w:w="317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30</w:t>
            </w:r>
          </w:p>
        </w:tc>
        <w:tc>
          <w:tcPr>
            <w:tcW w:w="270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11</w:t>
            </w:r>
          </w:p>
        </w:tc>
        <w:tc>
          <w:tcPr>
            <w:tcW w:w="96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36.7%</w:t>
            </w:r>
          </w:p>
        </w:tc>
        <w:tc>
          <w:tcPr>
            <w:tcW w:w="74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70</w:t>
            </w:r>
          </w:p>
        </w:tc>
      </w:tr>
    </w:tbl>
    <w:p>
      <w:pPr>
        <w:keepNext w:val="0"/>
        <w:keepLines w:val="0"/>
        <w:pageBreakBefore w:val="0"/>
        <w:widowControl/>
        <w:kinsoku/>
        <w:wordWrap/>
        <w:overflowPunct/>
        <w:topLinePunct/>
        <w:autoSpaceDE/>
        <w:autoSpaceDN/>
        <w:bidi w:val="0"/>
        <w:adjustRightInd/>
        <w:snapToGrid/>
        <w:spacing w:beforeAutospacing="0" w:afterAutospacing="0" w:line="540" w:lineRule="exact"/>
        <w:ind w:left="0" w:leftChars="0" w:right="0" w:firstLine="600" w:firstLineChars="200"/>
        <w:jc w:val="both"/>
        <w:textAlignment w:val="auto"/>
        <w:outlineLvl w:val="9"/>
        <w:rPr>
          <w:rFonts w:hint="eastAsia" w:ascii="仿宋_GB2312" w:hAnsi="仿宋_GB2312" w:eastAsia="仿宋_GB2312" w:cs="仿宋_GB2312"/>
          <w:b w:val="0"/>
          <w:bCs/>
          <w:color w:val="auto"/>
          <w:spacing w:val="0"/>
          <w:w w:val="100"/>
          <w:position w:val="0"/>
          <w:sz w:val="30"/>
          <w:szCs w:val="30"/>
          <w:highlight w:val="none"/>
          <w:lang w:val="en-US" w:eastAsia="zh-CN"/>
        </w:rPr>
      </w:pPr>
      <w:r>
        <w:rPr>
          <w:rFonts w:hint="eastAsia" w:ascii="仿宋_GB2312" w:hAnsi="仿宋_GB2312" w:eastAsia="仿宋_GB2312" w:cs="仿宋_GB2312"/>
          <w:b w:val="0"/>
          <w:bCs/>
          <w:color w:val="auto"/>
          <w:spacing w:val="0"/>
          <w:w w:val="100"/>
          <w:position w:val="0"/>
          <w:sz w:val="30"/>
          <w:szCs w:val="30"/>
          <w:highlight w:val="none"/>
          <w:lang w:val="en-US" w:eastAsia="zh-CN"/>
        </w:rPr>
        <w:t>评分标准及计算方案见表3：</w:t>
      </w:r>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eastAsia" w:ascii="黑体" w:hAnsi="黑体" w:eastAsia="黑体" w:cs="黑体"/>
          <w:b w:val="0"/>
          <w:bCs/>
          <w:color w:val="auto"/>
          <w:spacing w:val="0"/>
          <w:kern w:val="2"/>
          <w:position w:val="0"/>
          <w:sz w:val="24"/>
          <w:szCs w:val="30"/>
          <w:lang w:val="en-US" w:eastAsia="zh-CN" w:bidi="ar"/>
        </w:rPr>
      </w:pPr>
      <w:r>
        <w:rPr>
          <w:rFonts w:hint="eastAsia" w:ascii="黑体" w:hAnsi="黑体" w:eastAsia="黑体" w:cs="黑体"/>
          <w:b w:val="0"/>
          <w:bCs/>
          <w:color w:val="auto"/>
          <w:spacing w:val="0"/>
          <w:kern w:val="2"/>
          <w:position w:val="0"/>
          <w:sz w:val="24"/>
          <w:szCs w:val="30"/>
          <w:lang w:val="en-US" w:eastAsia="zh-CN" w:bidi="ar"/>
        </w:rPr>
        <w:t>表3政策措施评估标准及计算方法</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9"/>
        <w:gridCol w:w="828"/>
        <w:gridCol w:w="1608"/>
        <w:gridCol w:w="1524"/>
        <w:gridCol w:w="1680"/>
        <w:gridCol w:w="1144"/>
        <w:gridCol w:w="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评估内容</w:t>
            </w:r>
          </w:p>
        </w:tc>
        <w:tc>
          <w:tcPr>
            <w:tcW w:w="6784" w:type="dxa"/>
            <w:gridSpan w:val="5"/>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评估标准</w:t>
            </w:r>
          </w:p>
        </w:tc>
        <w:tc>
          <w:tcPr>
            <w:tcW w:w="776"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对应权重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政策措施差错率</w:t>
            </w:r>
          </w:p>
        </w:tc>
        <w:tc>
          <w:tcPr>
            <w:tcW w:w="828"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=0%</w:t>
            </w:r>
          </w:p>
        </w:tc>
        <w:tc>
          <w:tcPr>
            <w:tcW w:w="1608"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（0%，10%）</w:t>
            </w:r>
          </w:p>
        </w:tc>
        <w:tc>
          <w:tcPr>
            <w:tcW w:w="1524"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（10%，20%）</w:t>
            </w:r>
          </w:p>
        </w:tc>
        <w:tc>
          <w:tcPr>
            <w:tcW w:w="1680"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（20%，40%）</w:t>
            </w:r>
          </w:p>
        </w:tc>
        <w:tc>
          <w:tcPr>
            <w:tcW w:w="1144"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&gt;40%</w:t>
            </w:r>
          </w:p>
        </w:tc>
        <w:tc>
          <w:tcPr>
            <w:tcW w:w="776"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对应得分</w:t>
            </w:r>
          </w:p>
        </w:tc>
        <w:tc>
          <w:tcPr>
            <w:tcW w:w="828"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100</w:t>
            </w:r>
          </w:p>
        </w:tc>
        <w:tc>
          <w:tcPr>
            <w:tcW w:w="1608"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90</w:t>
            </w:r>
          </w:p>
        </w:tc>
        <w:tc>
          <w:tcPr>
            <w:tcW w:w="1524"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80</w:t>
            </w:r>
          </w:p>
        </w:tc>
        <w:tc>
          <w:tcPr>
            <w:tcW w:w="1680"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70</w:t>
            </w:r>
          </w:p>
        </w:tc>
        <w:tc>
          <w:tcPr>
            <w:tcW w:w="1144"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60</w:t>
            </w:r>
          </w:p>
        </w:tc>
        <w:tc>
          <w:tcPr>
            <w:tcW w:w="776"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bl>
    <w:p>
      <w:pPr>
        <w:keepNext w:val="0"/>
        <w:keepLines w:val="0"/>
        <w:pageBreakBefore w:val="0"/>
        <w:widowControl/>
        <w:numPr>
          <w:ilvl w:val="0"/>
          <w:numId w:val="1"/>
        </w:numPr>
        <w:suppressLineNumbers w:val="0"/>
        <w:kinsoku/>
        <w:wordWrap/>
        <w:overflowPunct/>
        <w:topLinePunct/>
        <w:autoSpaceDE/>
        <w:autoSpaceDN/>
        <w:bidi w:val="0"/>
        <w:adjustRightInd/>
        <w:snapToGrid/>
        <w:spacing w:line="540" w:lineRule="exact"/>
        <w:ind w:left="0" w:leftChars="0" w:right="0" w:firstLine="640" w:firstLineChars="200"/>
        <w:jc w:val="both"/>
        <w:textAlignment w:val="auto"/>
        <w:outlineLvl w:val="1"/>
        <w:rPr>
          <w:rFonts w:hint="eastAsia" w:ascii="仿宋_GB2312" w:hAnsi="仿宋_GB2312" w:eastAsia="仿宋_GB2312" w:cs="仿宋_GB2312"/>
          <w:b w:val="0"/>
          <w:bCs/>
          <w:color w:val="auto"/>
          <w:spacing w:val="0"/>
          <w:w w:val="100"/>
          <w:kern w:val="0"/>
          <w:position w:val="0"/>
          <w:sz w:val="32"/>
          <w:szCs w:val="32"/>
          <w:lang w:val="en-US" w:eastAsia="zh-CN" w:bidi="ar"/>
        </w:rPr>
      </w:pPr>
      <w:bookmarkStart w:id="21" w:name="_Toc29143"/>
      <w:r>
        <w:rPr>
          <w:rFonts w:hint="eastAsia" w:ascii="仿宋_GB2312" w:hAnsi="仿宋_GB2312" w:eastAsia="仿宋_GB2312" w:cs="仿宋_GB2312"/>
          <w:b w:val="0"/>
          <w:bCs/>
          <w:color w:val="auto"/>
          <w:spacing w:val="0"/>
          <w:w w:val="100"/>
          <w:kern w:val="0"/>
          <w:position w:val="0"/>
          <w:sz w:val="32"/>
          <w:szCs w:val="32"/>
          <w:lang w:val="en-US" w:eastAsia="zh-CN" w:bidi="ar"/>
        </w:rPr>
        <w:t xml:space="preserve"> 公平竞争审查第三方评估工作配合情况得分</w:t>
      </w:r>
      <w:bookmarkEnd w:id="21"/>
    </w:p>
    <w:p>
      <w:pPr>
        <w:keepNext w:val="0"/>
        <w:keepLines w:val="0"/>
        <w:pageBreakBefore w:val="0"/>
        <w:widowControl/>
        <w:numPr>
          <w:ilvl w:val="0"/>
          <w:numId w:val="0"/>
        </w:numPr>
        <w:suppressLineNumbers w:val="0"/>
        <w:kinsoku/>
        <w:wordWrap/>
        <w:overflowPunct/>
        <w:topLinePunct/>
        <w:autoSpaceDE/>
        <w:autoSpaceDN/>
        <w:bidi w:val="0"/>
        <w:adjustRightInd/>
        <w:snapToGrid/>
        <w:spacing w:line="540" w:lineRule="exact"/>
        <w:ind w:left="0" w:leftChars="0" w:right="0" w:firstLine="640" w:firstLineChars="200"/>
        <w:jc w:val="both"/>
        <w:textAlignment w:val="auto"/>
        <w:outlineLvl w:val="9"/>
        <w:rPr>
          <w:rFonts w:hint="eastAsia" w:ascii="仿宋_GB2312" w:hAnsi="仿宋_GB2312" w:eastAsia="仿宋_GB2312" w:cs="仿宋_GB2312"/>
          <w:b w:val="0"/>
          <w:bCs/>
          <w:color w:val="auto"/>
          <w:spacing w:val="0"/>
          <w:w w:val="100"/>
          <w:kern w:val="0"/>
          <w:position w:val="0"/>
          <w:sz w:val="32"/>
          <w:szCs w:val="32"/>
          <w:lang w:val="en-US" w:eastAsia="zh-CN" w:bidi="ar"/>
        </w:rPr>
      </w:pPr>
      <w:r>
        <w:rPr>
          <w:rFonts w:hint="eastAsia" w:ascii="仿宋_GB2312" w:hAnsi="仿宋_GB2312" w:eastAsia="仿宋_GB2312" w:cs="仿宋_GB2312"/>
          <w:b w:val="0"/>
          <w:bCs/>
          <w:color w:val="auto"/>
          <w:spacing w:val="0"/>
          <w:w w:val="100"/>
          <w:kern w:val="0"/>
          <w:position w:val="0"/>
          <w:sz w:val="32"/>
          <w:szCs w:val="32"/>
          <w:lang w:val="en-US" w:eastAsia="zh-CN" w:bidi="ar"/>
        </w:rPr>
        <w:t>高台县在公平竞争审查工作第三方评估项目中积极配合，及时提交评估所需文件及佐证材料，沟通顺畅，确保了公平竞争审查第三方评估工作顺利开展，按照</w:t>
      </w:r>
      <w:r>
        <w:rPr>
          <w:rFonts w:hint="eastAsia" w:ascii="仿宋_GB2312" w:hAnsi="仿宋_GB2312" w:eastAsia="仿宋_GB2312" w:cs="仿宋_GB2312"/>
          <w:b w:val="0"/>
          <w:bCs/>
          <w:color w:val="auto"/>
          <w:spacing w:val="0"/>
          <w:w w:val="100"/>
          <w:kern w:val="0"/>
          <w:position w:val="0"/>
          <w:sz w:val="32"/>
          <w:szCs w:val="32"/>
          <w:highlight w:val="none"/>
          <w:lang w:val="en-US" w:eastAsia="zh-CN" w:bidi="ar"/>
        </w:rPr>
        <w:t>《张掖市公平竞争审查工作第三方评估执行手册》</w:t>
      </w:r>
      <w:r>
        <w:rPr>
          <w:rFonts w:hint="eastAsia" w:ascii="仿宋_GB2312" w:hAnsi="仿宋_GB2312" w:eastAsia="仿宋_GB2312" w:cs="仿宋_GB2312"/>
          <w:b w:val="0"/>
          <w:bCs/>
          <w:color w:val="auto"/>
          <w:spacing w:val="0"/>
          <w:w w:val="100"/>
          <w:kern w:val="0"/>
          <w:position w:val="0"/>
          <w:sz w:val="32"/>
          <w:szCs w:val="32"/>
          <w:lang w:val="en-US" w:eastAsia="zh-CN" w:bidi="ar"/>
        </w:rPr>
        <w:t>中评估指标量化打分，高台县在工作配合情况中得100分。</w:t>
      </w:r>
    </w:p>
    <w:p>
      <w:pPr>
        <w:keepNext w:val="0"/>
        <w:keepLines w:val="0"/>
        <w:pageBreakBefore w:val="0"/>
        <w:widowControl/>
        <w:numPr>
          <w:ilvl w:val="0"/>
          <w:numId w:val="1"/>
        </w:numPr>
        <w:suppressLineNumbers w:val="0"/>
        <w:kinsoku/>
        <w:wordWrap/>
        <w:overflowPunct/>
        <w:topLinePunct/>
        <w:autoSpaceDE/>
        <w:autoSpaceDN/>
        <w:bidi w:val="0"/>
        <w:adjustRightInd/>
        <w:snapToGrid/>
        <w:spacing w:line="540" w:lineRule="exact"/>
        <w:ind w:left="0" w:leftChars="0" w:right="0" w:firstLine="640" w:firstLineChars="200"/>
        <w:jc w:val="both"/>
        <w:textAlignment w:val="auto"/>
        <w:outlineLvl w:val="1"/>
        <w:rPr>
          <w:rFonts w:hint="eastAsia" w:ascii="仿宋_GB2312" w:hAnsi="仿宋_GB2312" w:eastAsia="仿宋_GB2312" w:cs="仿宋_GB2312"/>
          <w:b w:val="0"/>
          <w:bCs/>
          <w:color w:val="auto"/>
          <w:spacing w:val="0"/>
          <w:w w:val="100"/>
          <w:kern w:val="0"/>
          <w:position w:val="0"/>
          <w:sz w:val="32"/>
          <w:szCs w:val="32"/>
          <w:lang w:val="en-US" w:eastAsia="zh-CN" w:bidi="ar"/>
        </w:rPr>
      </w:pPr>
      <w:bookmarkStart w:id="22" w:name="_Toc9611"/>
      <w:r>
        <w:rPr>
          <w:rFonts w:hint="eastAsia" w:ascii="仿宋_GB2312" w:hAnsi="仿宋_GB2312" w:eastAsia="仿宋_GB2312" w:cs="仿宋_GB2312"/>
          <w:b w:val="0"/>
          <w:bCs/>
          <w:color w:val="auto"/>
          <w:spacing w:val="0"/>
          <w:w w:val="100"/>
          <w:kern w:val="0"/>
          <w:position w:val="0"/>
          <w:sz w:val="32"/>
          <w:szCs w:val="32"/>
          <w:lang w:val="en-US" w:eastAsia="zh-CN" w:bidi="ar"/>
        </w:rPr>
        <w:t xml:space="preserve"> 公平竞争审查第三方评估最终得分</w:t>
      </w:r>
      <w:bookmarkEnd w:id="22"/>
    </w:p>
    <w:p>
      <w:pPr>
        <w:keepNext w:val="0"/>
        <w:keepLines w:val="0"/>
        <w:pageBreakBefore w:val="0"/>
        <w:widowControl/>
        <w:numPr>
          <w:ilvl w:val="0"/>
          <w:numId w:val="0"/>
        </w:numPr>
        <w:suppressLineNumbers w:val="0"/>
        <w:kinsoku/>
        <w:wordWrap/>
        <w:overflowPunct/>
        <w:topLinePunct/>
        <w:autoSpaceDE/>
        <w:autoSpaceDN/>
        <w:bidi w:val="0"/>
        <w:adjustRightInd/>
        <w:snapToGrid/>
        <w:spacing w:line="540" w:lineRule="exact"/>
        <w:ind w:left="0" w:leftChars="0" w:right="0" w:firstLine="640" w:firstLineChars="200"/>
        <w:jc w:val="both"/>
        <w:textAlignment w:val="auto"/>
        <w:outlineLvl w:val="9"/>
        <w:rPr>
          <w:rFonts w:hint="eastAsia" w:ascii="仿宋_GB2312" w:hAnsi="仿宋_GB2312" w:eastAsia="仿宋_GB2312" w:cs="仿宋_GB2312"/>
          <w:b w:val="0"/>
          <w:bCs/>
          <w:color w:val="auto"/>
          <w:spacing w:val="0"/>
          <w:w w:val="100"/>
          <w:kern w:val="0"/>
          <w:position w:val="0"/>
          <w:sz w:val="32"/>
          <w:szCs w:val="32"/>
          <w:lang w:val="en-US" w:eastAsia="zh-CN" w:bidi="ar"/>
        </w:rPr>
      </w:pPr>
      <w:r>
        <w:rPr>
          <w:rFonts w:hint="eastAsia" w:ascii="仿宋_GB2312" w:hAnsi="仿宋_GB2312" w:eastAsia="仿宋_GB2312" w:cs="仿宋_GB2312"/>
          <w:b w:val="0"/>
          <w:bCs/>
          <w:color w:val="auto"/>
          <w:spacing w:val="0"/>
          <w:w w:val="100"/>
          <w:kern w:val="0"/>
          <w:position w:val="0"/>
          <w:sz w:val="32"/>
          <w:szCs w:val="32"/>
          <w:lang w:val="en-US" w:eastAsia="zh-CN" w:bidi="ar"/>
        </w:rPr>
        <w:t>根据最终得分=工作部署落实情况评估得分×50%+政策措施评估得分×40%+工作配合情况得分×10%的计算公式，高台县最终得分如表4所示：</w:t>
      </w:r>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eastAsia" w:ascii="黑体" w:hAnsi="黑体" w:eastAsia="黑体" w:cs="黑体"/>
          <w:b w:val="0"/>
          <w:bCs/>
          <w:color w:val="auto"/>
          <w:spacing w:val="0"/>
          <w:kern w:val="2"/>
          <w:position w:val="0"/>
          <w:sz w:val="24"/>
          <w:szCs w:val="30"/>
          <w:lang w:val="en-US" w:eastAsia="zh-CN" w:bidi="ar"/>
        </w:rPr>
      </w:pPr>
      <w:r>
        <w:rPr>
          <w:rFonts w:hint="eastAsia" w:ascii="黑体" w:hAnsi="黑体" w:eastAsia="黑体" w:cs="黑体"/>
          <w:b w:val="0"/>
          <w:bCs/>
          <w:color w:val="auto"/>
          <w:spacing w:val="0"/>
          <w:kern w:val="2"/>
          <w:position w:val="0"/>
          <w:sz w:val="24"/>
          <w:szCs w:val="30"/>
          <w:lang w:val="en-US" w:eastAsia="zh-CN" w:bidi="ar"/>
        </w:rPr>
        <w:t>表4高台县第三方评估最终得分</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1"/>
        <w:gridCol w:w="3054"/>
        <w:gridCol w:w="3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被评估单位</w:t>
            </w:r>
          </w:p>
        </w:tc>
        <w:tc>
          <w:tcPr>
            <w:tcW w:w="6108" w:type="dxa"/>
            <w:gridSpan w:val="2"/>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公平竞争审查工作部署落实情况评估得分</w:t>
            </w:r>
          </w:p>
        </w:tc>
        <w:tc>
          <w:tcPr>
            <w:tcW w:w="3054"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公平竞争审查政策措施  评估得分</w:t>
            </w:r>
          </w:p>
        </w:tc>
        <w:tc>
          <w:tcPr>
            <w:tcW w:w="3054"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公平竞争审查第三方评估工作配合情况得分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96</w:t>
            </w:r>
          </w:p>
        </w:tc>
        <w:tc>
          <w:tcPr>
            <w:tcW w:w="3054"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80</w:t>
            </w:r>
          </w:p>
        </w:tc>
        <w:tc>
          <w:tcPr>
            <w:tcW w:w="3054"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总分计算过程</w:t>
            </w:r>
          </w:p>
        </w:tc>
        <w:tc>
          <w:tcPr>
            <w:tcW w:w="6108" w:type="dxa"/>
            <w:gridSpan w:val="2"/>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96×50%+80×40%+100×10%=90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1" w:type="dxa"/>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总分</w:t>
            </w:r>
          </w:p>
        </w:tc>
        <w:tc>
          <w:tcPr>
            <w:tcW w:w="6108" w:type="dxa"/>
            <w:gridSpan w:val="2"/>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90</w:t>
            </w:r>
          </w:p>
        </w:tc>
      </w:tr>
    </w:tbl>
    <w:p>
      <w:pPr>
        <w:keepNext w:val="0"/>
        <w:keepLines w:val="0"/>
        <w:pageBreakBefore w:val="0"/>
        <w:widowControl/>
        <w:suppressLineNumbers w:val="0"/>
        <w:kinsoku/>
        <w:wordWrap/>
        <w:overflowPunct/>
        <w:topLinePunct/>
        <w:autoSpaceDE/>
        <w:autoSpaceDN/>
        <w:bidi w:val="0"/>
        <w:snapToGrid/>
        <w:spacing w:before="157" w:beforeLines="50" w:beforeAutospacing="0" w:after="157" w:afterLines="50" w:afterAutospacing="0" w:line="540" w:lineRule="exact"/>
        <w:ind w:left="0" w:leftChars="0" w:right="0" w:rightChars="0" w:firstLine="640" w:firstLineChars="200"/>
        <w:jc w:val="both"/>
        <w:outlineLvl w:val="0"/>
        <w:rPr>
          <w:rFonts w:hint="eastAsia" w:ascii="黑体" w:hAnsi="黑体" w:eastAsia="黑体" w:cs="黑体"/>
          <w:b w:val="0"/>
          <w:bCs/>
          <w:color w:val="auto"/>
          <w:spacing w:val="0"/>
          <w:kern w:val="2"/>
          <w:position w:val="0"/>
          <w:sz w:val="32"/>
          <w:szCs w:val="32"/>
          <w:lang w:val="en-US" w:eastAsia="zh-CN" w:bidi="ar"/>
        </w:rPr>
      </w:pPr>
      <w:bookmarkStart w:id="23" w:name="_Toc32616"/>
      <w:r>
        <w:rPr>
          <w:rFonts w:hint="eastAsia" w:ascii="黑体" w:hAnsi="黑体" w:eastAsia="黑体" w:cs="黑体"/>
          <w:b w:val="0"/>
          <w:bCs/>
          <w:color w:val="auto"/>
          <w:spacing w:val="0"/>
          <w:kern w:val="2"/>
          <w:position w:val="0"/>
          <w:sz w:val="32"/>
          <w:szCs w:val="32"/>
          <w:lang w:val="en-US" w:eastAsia="zh-CN" w:bidi="ar"/>
        </w:rPr>
        <w:t>四、意见建议</w:t>
      </w:r>
      <w:bookmarkEnd w:id="23"/>
    </w:p>
    <w:p>
      <w:pPr>
        <w:keepNext w:val="0"/>
        <w:keepLines w:val="0"/>
        <w:pageBreakBefore w:val="0"/>
        <w:widowControl/>
        <w:kinsoku/>
        <w:wordWrap/>
        <w:overflowPunct/>
        <w:topLinePunct/>
        <w:autoSpaceDE/>
        <w:autoSpaceDN/>
        <w:bidi w:val="0"/>
        <w:adjustRightInd/>
        <w:snapToGrid/>
        <w:spacing w:beforeAutospacing="0" w:afterAutospacing="0" w:line="540" w:lineRule="exact"/>
        <w:ind w:left="0" w:leftChars="0" w:right="0" w:firstLine="640" w:firstLineChars="200"/>
        <w:jc w:val="both"/>
        <w:textAlignment w:val="auto"/>
        <w:outlineLvl w:val="1"/>
        <w:rPr>
          <w:rFonts w:hint="eastAsia" w:ascii="楷体_GB2312" w:hAnsi="楷体_GB2312" w:eastAsia="楷体_GB2312" w:cs="楷体_GB2312"/>
          <w:b w:val="0"/>
          <w:bCs/>
          <w:color w:val="auto"/>
          <w:spacing w:val="0"/>
          <w:w w:val="100"/>
          <w:position w:val="0"/>
          <w:sz w:val="32"/>
          <w:szCs w:val="32"/>
          <w:lang w:val="en-US" w:eastAsia="zh-CN"/>
        </w:rPr>
      </w:pPr>
      <w:bookmarkStart w:id="24" w:name="_Toc13397"/>
      <w:r>
        <w:rPr>
          <w:rFonts w:hint="eastAsia" w:ascii="楷体_GB2312" w:hAnsi="楷体_GB2312" w:eastAsia="楷体_GB2312" w:cs="楷体_GB2312"/>
          <w:b w:val="0"/>
          <w:bCs/>
          <w:color w:val="auto"/>
          <w:spacing w:val="0"/>
          <w:w w:val="100"/>
          <w:position w:val="0"/>
          <w:sz w:val="32"/>
          <w:szCs w:val="32"/>
          <w:lang w:val="en-US" w:eastAsia="zh-CN"/>
        </w:rPr>
        <w:t>（一）加强审查机制建设，健全审查保障机制</w:t>
      </w:r>
      <w:bookmarkEnd w:id="24"/>
    </w:p>
    <w:p>
      <w:pPr>
        <w:keepNext w:val="0"/>
        <w:keepLines w:val="0"/>
        <w:pageBreakBefore w:val="0"/>
        <w:widowControl/>
        <w:kinsoku/>
        <w:wordWrap/>
        <w:overflowPunct/>
        <w:topLinePunct/>
        <w:autoSpaceDE/>
        <w:autoSpaceDN/>
        <w:bidi w:val="0"/>
        <w:adjustRightInd/>
        <w:snapToGrid/>
        <w:spacing w:beforeAutospacing="0" w:afterAutospacing="0" w:line="540" w:lineRule="exact"/>
        <w:ind w:left="0" w:leftChars="0" w:right="0" w:firstLine="640" w:firstLineChars="200"/>
        <w:jc w:val="both"/>
        <w:textAlignment w:val="auto"/>
        <w:outlineLvl w:val="9"/>
        <w:rPr>
          <w:rFonts w:hint="eastAsia" w:ascii="仿宋_GB2312" w:hAnsi="仿宋_GB2312" w:eastAsia="仿宋_GB2312" w:cs="仿宋_GB2312"/>
          <w:b w:val="0"/>
          <w:bCs/>
          <w:color w:val="auto"/>
          <w:spacing w:val="0"/>
          <w:w w:val="100"/>
          <w:position w:val="0"/>
          <w:sz w:val="32"/>
          <w:szCs w:val="32"/>
          <w:lang w:val="en-US" w:eastAsia="zh-CN"/>
        </w:rPr>
      </w:pPr>
      <w:r>
        <w:rPr>
          <w:rFonts w:hint="eastAsia" w:ascii="仿宋_GB2312" w:hAnsi="仿宋_GB2312" w:eastAsia="仿宋_GB2312" w:cs="仿宋_GB2312"/>
          <w:b w:val="0"/>
          <w:bCs/>
          <w:color w:val="auto"/>
          <w:spacing w:val="0"/>
          <w:w w:val="100"/>
          <w:position w:val="0"/>
          <w:sz w:val="32"/>
          <w:szCs w:val="32"/>
          <w:lang w:val="en-US" w:eastAsia="zh-CN"/>
        </w:rPr>
        <w:t>在此次公平竞争第三方评估过程中，高台县部分增量措施后未附有公平竞争审查表，政策措施出台未经过公平竞争审查程序，新出台的涉及市场主体经营行为的政策措施一定程度上存在妨碍统一市场建设与公平竞争的风险，因此应当从审查机制建设入手，确保公平竞争审查机制运行顺畅和审查的有效性。</w:t>
      </w:r>
    </w:p>
    <w:p>
      <w:pPr>
        <w:keepNext w:val="0"/>
        <w:keepLines w:val="0"/>
        <w:pageBreakBefore w:val="0"/>
        <w:widowControl/>
        <w:kinsoku/>
        <w:wordWrap/>
        <w:overflowPunct/>
        <w:topLinePunct/>
        <w:autoSpaceDE/>
        <w:autoSpaceDN/>
        <w:bidi w:val="0"/>
        <w:adjustRightInd/>
        <w:snapToGrid/>
        <w:spacing w:beforeAutospacing="0" w:afterAutospacing="0" w:line="540" w:lineRule="exact"/>
        <w:ind w:left="0" w:leftChars="0" w:right="0" w:firstLine="643" w:firstLineChars="200"/>
        <w:jc w:val="both"/>
        <w:textAlignment w:val="auto"/>
        <w:outlineLvl w:val="9"/>
        <w:rPr>
          <w:rFonts w:hint="eastAsia" w:ascii="仿宋_GB2312" w:hAnsi="仿宋_GB2312" w:eastAsia="仿宋_GB2312" w:cs="仿宋_GB2312"/>
          <w:b w:val="0"/>
          <w:bCs/>
          <w:color w:val="auto"/>
          <w:spacing w:val="0"/>
          <w:w w:val="100"/>
          <w:position w:val="0"/>
          <w:sz w:val="32"/>
          <w:szCs w:val="32"/>
          <w:lang w:val="en-US" w:eastAsia="zh-CN"/>
        </w:rPr>
      </w:pPr>
      <w:r>
        <w:rPr>
          <w:rFonts w:hint="eastAsia" w:ascii="仿宋_GB2312" w:hAnsi="仿宋_GB2312" w:eastAsia="仿宋_GB2312" w:cs="仿宋_GB2312"/>
          <w:b/>
          <w:bCs w:val="0"/>
          <w:color w:val="auto"/>
          <w:spacing w:val="0"/>
          <w:w w:val="100"/>
          <w:position w:val="0"/>
          <w:sz w:val="32"/>
          <w:szCs w:val="32"/>
          <w:lang w:val="en-US" w:eastAsia="zh-CN"/>
        </w:rPr>
        <w:t>一是坚持“谁起草、谁审查、谁担责”的原则，</w:t>
      </w:r>
      <w:r>
        <w:rPr>
          <w:rFonts w:hint="eastAsia" w:ascii="仿宋_GB2312" w:hAnsi="仿宋_GB2312" w:eastAsia="仿宋_GB2312" w:cs="仿宋_GB2312"/>
          <w:b w:val="0"/>
          <w:bCs/>
          <w:color w:val="auto"/>
          <w:spacing w:val="0"/>
          <w:w w:val="100"/>
          <w:position w:val="0"/>
          <w:sz w:val="32"/>
          <w:szCs w:val="32"/>
          <w:lang w:val="en-US" w:eastAsia="zh-CN"/>
        </w:rPr>
        <w:t>重点落实</w:t>
      </w:r>
      <w:r>
        <w:rPr>
          <w:rFonts w:hint="eastAsia" w:ascii="仿宋_GB2312" w:hAnsi="仿宋_GB2312" w:eastAsia="仿宋_GB2312" w:cs="仿宋_GB2312"/>
          <w:b w:val="0"/>
          <w:bCs/>
          <w:color w:val="auto"/>
          <w:spacing w:val="0"/>
          <w:w w:val="100"/>
          <w:position w:val="0"/>
          <w:sz w:val="32"/>
          <w:szCs w:val="32"/>
        </w:rPr>
        <w:t>政策措施制定</w:t>
      </w:r>
      <w:r>
        <w:rPr>
          <w:rFonts w:hint="eastAsia" w:ascii="仿宋_GB2312" w:hAnsi="仿宋_GB2312" w:eastAsia="仿宋_GB2312" w:cs="仿宋_GB2312"/>
          <w:b w:val="0"/>
          <w:bCs/>
          <w:color w:val="auto"/>
          <w:spacing w:val="0"/>
          <w:w w:val="100"/>
          <w:position w:val="0"/>
          <w:sz w:val="32"/>
          <w:szCs w:val="32"/>
          <w:lang w:val="en-US" w:eastAsia="zh-CN"/>
        </w:rPr>
        <w:t>相</w:t>
      </w:r>
      <w:r>
        <w:rPr>
          <w:rFonts w:hint="eastAsia" w:ascii="仿宋_GB2312" w:hAnsi="仿宋_GB2312" w:eastAsia="仿宋_GB2312" w:cs="仿宋_GB2312"/>
          <w:b w:val="0"/>
          <w:bCs/>
          <w:color w:val="auto"/>
          <w:spacing w:val="0"/>
          <w:w w:val="100"/>
          <w:position w:val="0"/>
          <w:sz w:val="32"/>
          <w:szCs w:val="32"/>
        </w:rPr>
        <w:t>关</w:t>
      </w:r>
      <w:r>
        <w:rPr>
          <w:rFonts w:hint="eastAsia" w:ascii="仿宋_GB2312" w:hAnsi="仿宋_GB2312" w:eastAsia="仿宋_GB2312" w:cs="仿宋_GB2312"/>
          <w:b w:val="0"/>
          <w:bCs/>
          <w:color w:val="auto"/>
          <w:spacing w:val="0"/>
          <w:w w:val="100"/>
          <w:position w:val="0"/>
          <w:sz w:val="32"/>
          <w:szCs w:val="32"/>
          <w:lang w:val="en-US" w:eastAsia="zh-CN"/>
        </w:rPr>
        <w:t>部门的责任，涉及市场主体经营活动的政策措施需经</w:t>
      </w:r>
      <w:r>
        <w:rPr>
          <w:rFonts w:hint="eastAsia" w:ascii="仿宋_GB2312" w:hAnsi="仿宋_GB2312" w:eastAsia="仿宋_GB2312" w:cs="仿宋_GB2312"/>
          <w:b w:val="0"/>
          <w:bCs/>
          <w:color w:val="auto"/>
          <w:spacing w:val="0"/>
          <w:w w:val="100"/>
          <w:position w:val="0"/>
          <w:sz w:val="32"/>
          <w:szCs w:val="32"/>
        </w:rPr>
        <w:t>政策措施制定</w:t>
      </w:r>
      <w:r>
        <w:rPr>
          <w:rFonts w:hint="eastAsia" w:ascii="仿宋_GB2312" w:hAnsi="仿宋_GB2312" w:eastAsia="仿宋_GB2312" w:cs="仿宋_GB2312"/>
          <w:b w:val="0"/>
          <w:bCs/>
          <w:color w:val="auto"/>
          <w:spacing w:val="0"/>
          <w:w w:val="100"/>
          <w:position w:val="0"/>
          <w:sz w:val="32"/>
          <w:szCs w:val="32"/>
          <w:lang w:val="en-US" w:eastAsia="zh-CN"/>
        </w:rPr>
        <w:t>相</w:t>
      </w:r>
      <w:r>
        <w:rPr>
          <w:rFonts w:hint="eastAsia" w:ascii="仿宋_GB2312" w:hAnsi="仿宋_GB2312" w:eastAsia="仿宋_GB2312" w:cs="仿宋_GB2312"/>
          <w:b w:val="0"/>
          <w:bCs/>
          <w:color w:val="auto"/>
          <w:spacing w:val="0"/>
          <w:w w:val="100"/>
          <w:position w:val="0"/>
          <w:sz w:val="32"/>
          <w:szCs w:val="32"/>
        </w:rPr>
        <w:t>关</w:t>
      </w:r>
      <w:r>
        <w:rPr>
          <w:rFonts w:hint="eastAsia" w:ascii="仿宋_GB2312" w:hAnsi="仿宋_GB2312" w:eastAsia="仿宋_GB2312" w:cs="仿宋_GB2312"/>
          <w:b w:val="0"/>
          <w:bCs/>
          <w:color w:val="auto"/>
          <w:spacing w:val="0"/>
          <w:w w:val="100"/>
          <w:position w:val="0"/>
          <w:sz w:val="32"/>
          <w:szCs w:val="32"/>
          <w:lang w:val="en-US" w:eastAsia="zh-CN"/>
        </w:rPr>
        <w:t>负责人在进行公平竞争审查后填写《公平竞争审查表》，对制定的政策措施进行公平竞争审查后，出具书面审核意见。通过依法审查，强化监督的做法，建立健全公平竞争审查保障机制，把自我审查和外部监督相结合，防止滥用行政权力，排除、限制竞争行为。</w:t>
      </w:r>
    </w:p>
    <w:p>
      <w:pPr>
        <w:keepNext w:val="0"/>
        <w:keepLines w:val="0"/>
        <w:pageBreakBefore w:val="0"/>
        <w:widowControl/>
        <w:kinsoku/>
        <w:wordWrap/>
        <w:overflowPunct/>
        <w:topLinePunct/>
        <w:autoSpaceDE/>
        <w:autoSpaceDN/>
        <w:bidi w:val="0"/>
        <w:adjustRightInd/>
        <w:snapToGrid/>
        <w:spacing w:beforeAutospacing="0" w:afterAutospacing="0" w:line="540" w:lineRule="exact"/>
        <w:ind w:left="0" w:leftChars="0" w:right="0" w:firstLine="643" w:firstLineChars="200"/>
        <w:jc w:val="both"/>
        <w:textAlignment w:val="auto"/>
        <w:outlineLvl w:val="9"/>
        <w:rPr>
          <w:rFonts w:hint="eastAsia" w:ascii="仿宋_GB2312" w:hAnsi="仿宋_GB2312" w:eastAsia="仿宋_GB2312" w:cs="仿宋_GB2312"/>
          <w:b w:val="0"/>
          <w:bCs/>
          <w:color w:val="auto"/>
          <w:spacing w:val="0"/>
          <w:w w:val="100"/>
          <w:position w:val="0"/>
          <w:sz w:val="32"/>
          <w:szCs w:val="32"/>
          <w:lang w:val="en-US" w:eastAsia="zh-CN"/>
        </w:rPr>
      </w:pPr>
      <w:r>
        <w:rPr>
          <w:rFonts w:hint="eastAsia" w:ascii="仿宋_GB2312" w:hAnsi="仿宋_GB2312" w:eastAsia="仿宋_GB2312" w:cs="仿宋_GB2312"/>
          <w:b/>
          <w:bCs w:val="0"/>
          <w:color w:val="auto"/>
          <w:spacing w:val="0"/>
          <w:w w:val="100"/>
          <w:position w:val="0"/>
          <w:sz w:val="32"/>
          <w:szCs w:val="32"/>
          <w:lang w:val="en-US" w:eastAsia="zh-CN"/>
        </w:rPr>
        <w:t>二是确保应纳入公平竞争审查的政策措施均进行公平竞争审查程序，</w:t>
      </w:r>
      <w:r>
        <w:rPr>
          <w:rFonts w:hint="eastAsia" w:ascii="仿宋_GB2312" w:hAnsi="仿宋_GB2312" w:eastAsia="仿宋_GB2312" w:cs="仿宋_GB2312"/>
          <w:b w:val="0"/>
          <w:bCs/>
          <w:color w:val="auto"/>
          <w:spacing w:val="0"/>
          <w:w w:val="100"/>
          <w:position w:val="0"/>
          <w:sz w:val="32"/>
          <w:szCs w:val="32"/>
        </w:rPr>
        <w:t>在严格落实“谁制定、谁审查”原则的基础上，对重大政策措施，若政策措施制定机关</w:t>
      </w:r>
      <w:r>
        <w:rPr>
          <w:rFonts w:hint="eastAsia" w:ascii="仿宋_GB2312" w:hAnsi="仿宋_GB2312" w:eastAsia="仿宋_GB2312" w:cs="仿宋_GB2312"/>
          <w:b w:val="0"/>
          <w:bCs/>
          <w:color w:val="auto"/>
          <w:spacing w:val="0"/>
          <w:w w:val="100"/>
          <w:position w:val="0"/>
          <w:sz w:val="32"/>
          <w:szCs w:val="32"/>
          <w:lang w:val="en-US" w:eastAsia="zh-CN"/>
        </w:rPr>
        <w:t>无法确定是否应进行公平竞争审查的，应报送</w:t>
      </w:r>
      <w:r>
        <w:rPr>
          <w:rFonts w:hint="eastAsia" w:ascii="仿宋_GB2312" w:hAnsi="仿宋_GB2312" w:eastAsia="仿宋_GB2312" w:cs="仿宋_GB2312"/>
          <w:b w:val="0"/>
          <w:bCs/>
          <w:color w:val="auto"/>
          <w:spacing w:val="0"/>
          <w:w w:val="100"/>
          <w:position w:val="0"/>
          <w:sz w:val="32"/>
          <w:szCs w:val="32"/>
          <w:lang w:eastAsia="zh-CN"/>
        </w:rPr>
        <w:t>县</w:t>
      </w:r>
      <w:r>
        <w:rPr>
          <w:rFonts w:hint="eastAsia" w:ascii="仿宋_GB2312" w:hAnsi="仿宋_GB2312" w:eastAsia="仿宋_GB2312" w:cs="仿宋_GB2312"/>
          <w:b w:val="0"/>
          <w:bCs/>
          <w:color w:val="auto"/>
          <w:spacing w:val="0"/>
          <w:w w:val="100"/>
          <w:position w:val="0"/>
          <w:sz w:val="32"/>
          <w:szCs w:val="32"/>
        </w:rPr>
        <w:t>公平竞争审查工作部门联席会议办公室</w:t>
      </w:r>
      <w:r>
        <w:rPr>
          <w:rFonts w:hint="eastAsia" w:ascii="仿宋_GB2312" w:hAnsi="仿宋_GB2312" w:eastAsia="仿宋_GB2312" w:cs="仿宋_GB2312"/>
          <w:b w:val="0"/>
          <w:bCs/>
          <w:color w:val="auto"/>
          <w:spacing w:val="0"/>
          <w:w w:val="100"/>
          <w:position w:val="0"/>
          <w:sz w:val="32"/>
          <w:szCs w:val="32"/>
          <w:lang w:val="en-US" w:eastAsia="zh-CN"/>
        </w:rPr>
        <w:t>进行研判，确保应纳入公平竞争审查的政策措施均按照公平竞争审查工作要求进行彻底审查。</w:t>
      </w:r>
    </w:p>
    <w:p>
      <w:pPr>
        <w:keepNext w:val="0"/>
        <w:keepLines w:val="0"/>
        <w:pageBreakBefore w:val="0"/>
        <w:widowControl/>
        <w:kinsoku/>
        <w:wordWrap/>
        <w:overflowPunct/>
        <w:topLinePunct/>
        <w:autoSpaceDE/>
        <w:autoSpaceDN/>
        <w:bidi w:val="0"/>
        <w:adjustRightInd/>
        <w:snapToGrid/>
        <w:spacing w:beforeAutospacing="0" w:afterAutospacing="0" w:line="540" w:lineRule="exact"/>
        <w:ind w:left="0" w:leftChars="0" w:right="0" w:firstLine="643" w:firstLineChars="200"/>
        <w:jc w:val="both"/>
        <w:textAlignment w:val="auto"/>
        <w:outlineLvl w:val="9"/>
        <w:rPr>
          <w:rFonts w:hint="eastAsia" w:ascii="仿宋_GB2312" w:hAnsi="仿宋_GB2312" w:eastAsia="仿宋_GB2312" w:cs="仿宋_GB2312"/>
          <w:b w:val="0"/>
          <w:bCs/>
          <w:color w:val="auto"/>
          <w:spacing w:val="0"/>
          <w:w w:val="100"/>
          <w:position w:val="0"/>
          <w:sz w:val="32"/>
          <w:szCs w:val="32"/>
          <w:lang w:val="en-US" w:eastAsia="zh-CN"/>
        </w:rPr>
      </w:pPr>
      <w:r>
        <w:rPr>
          <w:rFonts w:hint="eastAsia" w:ascii="仿宋_GB2312" w:hAnsi="仿宋_GB2312" w:eastAsia="仿宋_GB2312" w:cs="仿宋_GB2312"/>
          <w:b/>
          <w:bCs w:val="0"/>
          <w:color w:val="auto"/>
          <w:spacing w:val="0"/>
          <w:w w:val="100"/>
          <w:position w:val="0"/>
          <w:sz w:val="32"/>
          <w:szCs w:val="32"/>
          <w:lang w:val="en-US" w:eastAsia="zh-CN"/>
        </w:rPr>
        <w:t>三是健全审查保障机制，</w:t>
      </w:r>
      <w:r>
        <w:rPr>
          <w:rFonts w:hint="eastAsia" w:ascii="仿宋_GB2312" w:hAnsi="仿宋_GB2312" w:eastAsia="仿宋_GB2312" w:cs="仿宋_GB2312"/>
          <w:b w:val="0"/>
          <w:bCs/>
          <w:color w:val="auto"/>
          <w:spacing w:val="0"/>
          <w:w w:val="100"/>
          <w:position w:val="0"/>
          <w:sz w:val="32"/>
          <w:szCs w:val="32"/>
          <w:lang w:eastAsia="zh-CN"/>
        </w:rPr>
        <w:t>县</w:t>
      </w:r>
      <w:r>
        <w:rPr>
          <w:rFonts w:hint="eastAsia" w:ascii="仿宋_GB2312" w:hAnsi="仿宋_GB2312" w:eastAsia="仿宋_GB2312" w:cs="仿宋_GB2312"/>
          <w:b w:val="0"/>
          <w:bCs/>
          <w:color w:val="auto"/>
          <w:spacing w:val="0"/>
          <w:w w:val="100"/>
          <w:position w:val="0"/>
          <w:sz w:val="32"/>
          <w:szCs w:val="32"/>
        </w:rPr>
        <w:t>公平竞争审查工作部门联席会议办公室</w:t>
      </w:r>
      <w:r>
        <w:rPr>
          <w:rFonts w:hint="eastAsia" w:ascii="仿宋_GB2312" w:hAnsi="仿宋_GB2312" w:eastAsia="仿宋_GB2312" w:cs="仿宋_GB2312"/>
          <w:b w:val="0"/>
          <w:bCs/>
          <w:color w:val="auto"/>
          <w:spacing w:val="0"/>
          <w:w w:val="100"/>
          <w:position w:val="0"/>
          <w:sz w:val="32"/>
          <w:szCs w:val="32"/>
          <w:lang w:val="en-US" w:eastAsia="zh-CN"/>
        </w:rPr>
        <w:t>可定期检查各</w:t>
      </w:r>
      <w:r>
        <w:rPr>
          <w:rFonts w:hint="eastAsia" w:ascii="仿宋_GB2312" w:hAnsi="仿宋_GB2312" w:eastAsia="仿宋_GB2312" w:cs="仿宋_GB2312"/>
          <w:b w:val="0"/>
          <w:bCs/>
          <w:color w:val="auto"/>
          <w:spacing w:val="0"/>
          <w:w w:val="100"/>
          <w:position w:val="0"/>
          <w:sz w:val="32"/>
          <w:szCs w:val="32"/>
        </w:rPr>
        <w:t>政策措施制定机关</w:t>
      </w:r>
      <w:r>
        <w:rPr>
          <w:rFonts w:hint="eastAsia" w:ascii="仿宋_GB2312" w:hAnsi="仿宋_GB2312" w:eastAsia="仿宋_GB2312" w:cs="仿宋_GB2312"/>
          <w:b w:val="0"/>
          <w:bCs/>
          <w:color w:val="auto"/>
          <w:spacing w:val="0"/>
          <w:w w:val="100"/>
          <w:position w:val="0"/>
          <w:sz w:val="32"/>
          <w:szCs w:val="32"/>
          <w:lang w:val="en-US" w:eastAsia="zh-CN"/>
        </w:rPr>
        <w:t>报送公平竞争审查是否全面，对应纳入公平竞争审查而未进行的，要及时</w:t>
      </w:r>
      <w:r>
        <w:rPr>
          <w:rFonts w:hint="eastAsia" w:ascii="仿宋_GB2312" w:hAnsi="仿宋_GB2312" w:eastAsia="仿宋_GB2312" w:cs="仿宋_GB2312"/>
          <w:b w:val="0"/>
          <w:bCs/>
          <w:color w:val="auto"/>
          <w:spacing w:val="0"/>
          <w:w w:val="100"/>
          <w:position w:val="0"/>
          <w:sz w:val="32"/>
          <w:szCs w:val="32"/>
          <w:lang w:eastAsia="zh-CN"/>
        </w:rPr>
        <w:t>督促</w:t>
      </w:r>
      <w:r>
        <w:rPr>
          <w:rFonts w:hint="eastAsia" w:ascii="仿宋_GB2312" w:hAnsi="仿宋_GB2312" w:eastAsia="仿宋_GB2312" w:cs="仿宋_GB2312"/>
          <w:b w:val="0"/>
          <w:bCs/>
          <w:color w:val="auto"/>
          <w:spacing w:val="0"/>
          <w:w w:val="100"/>
          <w:position w:val="0"/>
          <w:sz w:val="32"/>
          <w:szCs w:val="32"/>
        </w:rPr>
        <w:t>政策措施制定机关</w:t>
      </w:r>
      <w:r>
        <w:rPr>
          <w:rFonts w:hint="eastAsia" w:ascii="仿宋_GB2312" w:hAnsi="仿宋_GB2312" w:eastAsia="仿宋_GB2312" w:cs="仿宋_GB2312"/>
          <w:b w:val="0"/>
          <w:bCs/>
          <w:color w:val="auto"/>
          <w:spacing w:val="0"/>
          <w:w w:val="100"/>
          <w:position w:val="0"/>
          <w:sz w:val="32"/>
          <w:szCs w:val="32"/>
          <w:lang w:val="en-US" w:eastAsia="zh-CN"/>
        </w:rPr>
        <w:t>补充审查，如有违反公平竞争审查标准的，应及时</w:t>
      </w:r>
      <w:r>
        <w:rPr>
          <w:rFonts w:hint="eastAsia" w:ascii="仿宋_GB2312" w:hAnsi="仿宋_GB2312" w:eastAsia="仿宋_GB2312" w:cs="仿宋_GB2312"/>
          <w:b w:val="0"/>
          <w:bCs/>
          <w:color w:val="auto"/>
          <w:spacing w:val="0"/>
          <w:w w:val="100"/>
          <w:position w:val="0"/>
          <w:sz w:val="32"/>
          <w:szCs w:val="32"/>
          <w:lang w:eastAsia="zh-CN"/>
        </w:rPr>
        <w:t>建议</w:t>
      </w:r>
      <w:r>
        <w:rPr>
          <w:rFonts w:hint="eastAsia" w:ascii="仿宋_GB2312" w:hAnsi="仿宋_GB2312" w:eastAsia="仿宋_GB2312" w:cs="仿宋_GB2312"/>
          <w:b w:val="0"/>
          <w:bCs/>
          <w:color w:val="auto"/>
          <w:spacing w:val="0"/>
          <w:w w:val="100"/>
          <w:position w:val="0"/>
          <w:sz w:val="32"/>
          <w:szCs w:val="32"/>
          <w:lang w:val="en-US" w:eastAsia="zh-CN"/>
        </w:rPr>
        <w:t>修改或予以废止。</w:t>
      </w:r>
    </w:p>
    <w:p>
      <w:pPr>
        <w:keepNext w:val="0"/>
        <w:keepLines w:val="0"/>
        <w:pageBreakBefore w:val="0"/>
        <w:widowControl/>
        <w:numPr>
          <w:ilvl w:val="0"/>
          <w:numId w:val="0"/>
        </w:numPr>
        <w:kinsoku/>
        <w:wordWrap/>
        <w:overflowPunct/>
        <w:topLinePunct/>
        <w:autoSpaceDE/>
        <w:autoSpaceDN/>
        <w:bidi w:val="0"/>
        <w:adjustRightInd/>
        <w:snapToGrid/>
        <w:spacing w:beforeAutospacing="0" w:afterAutospacing="0" w:line="540" w:lineRule="exact"/>
        <w:ind w:right="0" w:rightChars="0" w:firstLine="640" w:firstLineChars="200"/>
        <w:jc w:val="both"/>
        <w:textAlignment w:val="auto"/>
        <w:outlineLvl w:val="1"/>
        <w:rPr>
          <w:rFonts w:hint="eastAsia" w:ascii="楷体_GB2312" w:hAnsi="楷体_GB2312" w:eastAsia="楷体_GB2312" w:cs="楷体_GB2312"/>
          <w:b w:val="0"/>
          <w:bCs/>
          <w:color w:val="auto"/>
          <w:spacing w:val="0"/>
          <w:w w:val="100"/>
          <w:position w:val="0"/>
          <w:sz w:val="32"/>
          <w:szCs w:val="32"/>
          <w:lang w:val="en-US" w:eastAsia="zh-CN"/>
        </w:rPr>
      </w:pPr>
      <w:bookmarkStart w:id="25" w:name="_Toc10675"/>
      <w:r>
        <w:rPr>
          <w:rFonts w:hint="eastAsia" w:ascii="楷体_GB2312" w:hAnsi="楷体_GB2312" w:eastAsia="楷体_GB2312" w:cs="楷体_GB2312"/>
          <w:b w:val="0"/>
          <w:bCs/>
          <w:color w:val="auto"/>
          <w:spacing w:val="0"/>
          <w:w w:val="100"/>
          <w:position w:val="0"/>
          <w:sz w:val="32"/>
          <w:szCs w:val="32"/>
          <w:lang w:val="en-US" w:eastAsia="zh-CN"/>
        </w:rPr>
        <w:t>（二）加强内部培训，奠定工作基础</w:t>
      </w:r>
      <w:bookmarkEnd w:id="25"/>
    </w:p>
    <w:p>
      <w:pPr>
        <w:keepNext w:val="0"/>
        <w:keepLines w:val="0"/>
        <w:pageBreakBefore w:val="0"/>
        <w:widowControl/>
        <w:numPr>
          <w:ilvl w:val="0"/>
          <w:numId w:val="0"/>
        </w:numPr>
        <w:kinsoku/>
        <w:wordWrap/>
        <w:overflowPunct/>
        <w:topLinePunct/>
        <w:autoSpaceDE/>
        <w:autoSpaceDN/>
        <w:bidi w:val="0"/>
        <w:adjustRightInd/>
        <w:snapToGrid/>
        <w:spacing w:beforeAutospacing="0" w:afterAutospacing="0" w:line="540" w:lineRule="exact"/>
        <w:ind w:left="0" w:leftChars="0" w:right="0" w:rightChars="0" w:firstLine="640" w:firstLineChars="200"/>
        <w:jc w:val="both"/>
        <w:textAlignment w:val="auto"/>
        <w:outlineLvl w:val="9"/>
        <w:rPr>
          <w:rFonts w:hint="eastAsia" w:ascii="仿宋_GB2312" w:hAnsi="仿宋_GB2312" w:eastAsia="仿宋_GB2312" w:cs="仿宋_GB2312"/>
          <w:b w:val="0"/>
          <w:bCs/>
          <w:color w:val="auto"/>
          <w:spacing w:val="0"/>
          <w:w w:val="100"/>
          <w:position w:val="0"/>
          <w:sz w:val="32"/>
          <w:szCs w:val="32"/>
          <w:lang w:val="en-US" w:eastAsia="zh-CN"/>
        </w:rPr>
      </w:pPr>
      <w:r>
        <w:rPr>
          <w:rFonts w:hint="eastAsia" w:ascii="仿宋_GB2312" w:hAnsi="仿宋_GB2312" w:eastAsia="仿宋_GB2312" w:cs="仿宋_GB2312"/>
          <w:b w:val="0"/>
          <w:bCs/>
          <w:color w:val="auto"/>
          <w:spacing w:val="0"/>
          <w:w w:val="100"/>
          <w:position w:val="0"/>
          <w:sz w:val="32"/>
          <w:szCs w:val="32"/>
          <w:lang w:val="en-US" w:eastAsia="zh-CN"/>
        </w:rPr>
        <w:t>公平竞争审查制度运行不畅、应纳入审查范围政策措施未进行审查等问题，很大程度上是各</w:t>
      </w:r>
      <w:r>
        <w:rPr>
          <w:rFonts w:hint="eastAsia" w:ascii="仿宋_GB2312" w:hAnsi="仿宋_GB2312" w:eastAsia="仿宋_GB2312" w:cs="仿宋_GB2312"/>
          <w:b w:val="0"/>
          <w:bCs/>
          <w:color w:val="auto"/>
          <w:spacing w:val="0"/>
          <w:w w:val="100"/>
          <w:position w:val="0"/>
          <w:sz w:val="32"/>
          <w:szCs w:val="32"/>
        </w:rPr>
        <w:t>政策措施制定机关</w:t>
      </w:r>
      <w:r>
        <w:rPr>
          <w:rFonts w:hint="eastAsia" w:ascii="仿宋_GB2312" w:hAnsi="仿宋_GB2312" w:eastAsia="仿宋_GB2312" w:cs="仿宋_GB2312"/>
          <w:b w:val="0"/>
          <w:bCs/>
          <w:color w:val="auto"/>
          <w:spacing w:val="0"/>
          <w:w w:val="100"/>
          <w:position w:val="0"/>
          <w:sz w:val="32"/>
          <w:szCs w:val="32"/>
          <w:lang w:val="en-US" w:eastAsia="zh-CN"/>
        </w:rPr>
        <w:t>公平竞争审查意识不强、对公平竞争审查范围理解不到位引起的。因此应当从</w:t>
      </w:r>
      <w:r>
        <w:rPr>
          <w:rFonts w:hint="eastAsia" w:ascii="仿宋_GB2312" w:hAnsi="仿宋_GB2312" w:eastAsia="仿宋_GB2312" w:cs="仿宋_GB2312"/>
          <w:b w:val="0"/>
          <w:bCs/>
          <w:color w:val="auto"/>
          <w:spacing w:val="0"/>
          <w:w w:val="100"/>
          <w:position w:val="0"/>
          <w:sz w:val="32"/>
          <w:szCs w:val="32"/>
          <w:lang w:eastAsia="zh-CN"/>
        </w:rPr>
        <w:t>宣传</w:t>
      </w:r>
      <w:r>
        <w:rPr>
          <w:rFonts w:hint="eastAsia" w:ascii="仿宋_GB2312" w:hAnsi="仿宋_GB2312" w:eastAsia="仿宋_GB2312" w:cs="仿宋_GB2312"/>
          <w:b w:val="0"/>
          <w:bCs/>
          <w:color w:val="auto"/>
          <w:spacing w:val="0"/>
          <w:w w:val="100"/>
          <w:position w:val="0"/>
          <w:sz w:val="32"/>
          <w:szCs w:val="32"/>
          <w:lang w:val="en-US" w:eastAsia="zh-CN"/>
        </w:rPr>
        <w:t>培训入手，增强各</w:t>
      </w:r>
      <w:r>
        <w:rPr>
          <w:rFonts w:hint="eastAsia" w:ascii="仿宋_GB2312" w:hAnsi="仿宋_GB2312" w:eastAsia="仿宋_GB2312" w:cs="仿宋_GB2312"/>
          <w:b w:val="0"/>
          <w:bCs/>
          <w:color w:val="auto"/>
          <w:spacing w:val="0"/>
          <w:w w:val="100"/>
          <w:position w:val="0"/>
          <w:sz w:val="32"/>
          <w:szCs w:val="32"/>
        </w:rPr>
        <w:t>政策措施制定机关</w:t>
      </w:r>
      <w:r>
        <w:rPr>
          <w:rFonts w:hint="eastAsia" w:ascii="仿宋_GB2312" w:hAnsi="仿宋_GB2312" w:eastAsia="仿宋_GB2312" w:cs="仿宋_GB2312"/>
          <w:b w:val="0"/>
          <w:bCs/>
          <w:color w:val="auto"/>
          <w:spacing w:val="0"/>
          <w:w w:val="100"/>
          <w:position w:val="0"/>
          <w:sz w:val="32"/>
          <w:szCs w:val="32"/>
          <w:lang w:val="en-US" w:eastAsia="zh-CN"/>
        </w:rPr>
        <w:t>政策制定相关人员公平竞争审查意识。</w:t>
      </w:r>
    </w:p>
    <w:p>
      <w:pPr>
        <w:keepNext w:val="0"/>
        <w:keepLines w:val="0"/>
        <w:pageBreakBefore w:val="0"/>
        <w:widowControl/>
        <w:kinsoku/>
        <w:wordWrap/>
        <w:overflowPunct/>
        <w:topLinePunct/>
        <w:autoSpaceDE/>
        <w:autoSpaceDN/>
        <w:bidi w:val="0"/>
        <w:adjustRightInd/>
        <w:snapToGrid/>
        <w:spacing w:beforeAutospacing="0" w:afterAutospacing="0" w:line="540" w:lineRule="exact"/>
        <w:ind w:left="0" w:leftChars="0" w:right="0" w:firstLine="643" w:firstLineChars="200"/>
        <w:jc w:val="both"/>
        <w:textAlignment w:val="auto"/>
        <w:outlineLvl w:val="9"/>
        <w:rPr>
          <w:rFonts w:hint="eastAsia" w:ascii="仿宋_GB2312" w:hAnsi="仿宋_GB2312" w:eastAsia="仿宋_GB2312" w:cs="仿宋_GB2312"/>
          <w:b w:val="0"/>
          <w:bCs/>
          <w:color w:val="auto"/>
          <w:spacing w:val="0"/>
          <w:w w:val="100"/>
          <w:position w:val="0"/>
          <w:sz w:val="32"/>
          <w:szCs w:val="32"/>
          <w:lang w:val="en-US" w:eastAsia="zh-CN"/>
        </w:rPr>
      </w:pPr>
      <w:r>
        <w:rPr>
          <w:rFonts w:hint="eastAsia" w:ascii="仿宋_GB2312" w:hAnsi="仿宋_GB2312" w:eastAsia="仿宋_GB2312" w:cs="仿宋_GB2312"/>
          <w:b/>
          <w:bCs w:val="0"/>
          <w:color w:val="auto"/>
          <w:spacing w:val="0"/>
          <w:w w:val="100"/>
          <w:position w:val="0"/>
          <w:sz w:val="32"/>
          <w:szCs w:val="32"/>
          <w:lang w:val="en-US" w:eastAsia="zh-CN"/>
        </w:rPr>
        <w:t>一是加强</w:t>
      </w:r>
      <w:r>
        <w:rPr>
          <w:rFonts w:hint="eastAsia" w:ascii="仿宋_GB2312" w:hAnsi="仿宋_GB2312" w:eastAsia="仿宋_GB2312" w:cs="仿宋_GB2312"/>
          <w:b/>
          <w:bCs w:val="0"/>
          <w:color w:val="auto"/>
          <w:spacing w:val="0"/>
          <w:w w:val="100"/>
          <w:position w:val="0"/>
          <w:sz w:val="32"/>
          <w:szCs w:val="32"/>
          <w:lang w:eastAsia="zh-CN"/>
        </w:rPr>
        <w:t>各</w:t>
      </w:r>
      <w:r>
        <w:rPr>
          <w:rFonts w:hint="eastAsia" w:ascii="仿宋_GB2312" w:hAnsi="仿宋_GB2312" w:eastAsia="仿宋_GB2312" w:cs="仿宋_GB2312"/>
          <w:b/>
          <w:bCs w:val="0"/>
          <w:color w:val="auto"/>
          <w:spacing w:val="0"/>
          <w:w w:val="100"/>
          <w:position w:val="0"/>
          <w:sz w:val="32"/>
          <w:szCs w:val="32"/>
        </w:rPr>
        <w:t>政策措施制定机关</w:t>
      </w:r>
      <w:r>
        <w:rPr>
          <w:rFonts w:hint="eastAsia" w:ascii="仿宋_GB2312" w:hAnsi="仿宋_GB2312" w:eastAsia="仿宋_GB2312" w:cs="仿宋_GB2312"/>
          <w:b/>
          <w:bCs w:val="0"/>
          <w:color w:val="auto"/>
          <w:spacing w:val="0"/>
          <w:w w:val="100"/>
          <w:position w:val="0"/>
          <w:sz w:val="32"/>
          <w:szCs w:val="32"/>
          <w:lang w:val="en-US" w:eastAsia="zh-CN"/>
        </w:rPr>
        <w:t>公平竞争审查机制与具体实施方案内容学习</w:t>
      </w:r>
      <w:r>
        <w:rPr>
          <w:rFonts w:hint="eastAsia" w:ascii="仿宋_GB2312" w:hAnsi="仿宋_GB2312" w:eastAsia="仿宋_GB2312" w:cs="仿宋_GB2312"/>
          <w:b w:val="0"/>
          <w:bCs/>
          <w:color w:val="auto"/>
          <w:spacing w:val="0"/>
          <w:w w:val="100"/>
          <w:position w:val="0"/>
          <w:sz w:val="32"/>
          <w:szCs w:val="32"/>
          <w:lang w:val="en-US" w:eastAsia="zh-CN"/>
        </w:rPr>
        <w:t>，规范公平竞争审查流程，确保政策制定人员对公平竞争审查流程有深刻认识,相关培训不仅要覆盖到</w:t>
      </w:r>
      <w:r>
        <w:rPr>
          <w:rFonts w:hint="eastAsia" w:ascii="仿宋_GB2312" w:hAnsi="仿宋_GB2312" w:eastAsia="仿宋_GB2312" w:cs="仿宋_GB2312"/>
          <w:b w:val="0"/>
          <w:bCs/>
          <w:color w:val="auto"/>
          <w:spacing w:val="0"/>
          <w:w w:val="100"/>
          <w:position w:val="0"/>
          <w:sz w:val="32"/>
          <w:szCs w:val="32"/>
          <w:lang w:eastAsia="zh-CN"/>
        </w:rPr>
        <w:t>各</w:t>
      </w:r>
      <w:r>
        <w:rPr>
          <w:rFonts w:hint="eastAsia" w:ascii="仿宋_GB2312" w:hAnsi="仿宋_GB2312" w:eastAsia="仿宋_GB2312" w:cs="仿宋_GB2312"/>
          <w:b w:val="0"/>
          <w:bCs/>
          <w:color w:val="auto"/>
          <w:spacing w:val="0"/>
          <w:w w:val="100"/>
          <w:position w:val="0"/>
          <w:sz w:val="32"/>
          <w:szCs w:val="32"/>
        </w:rPr>
        <w:t>政策措施制定机关联络</w:t>
      </w:r>
      <w:r>
        <w:rPr>
          <w:rFonts w:hint="eastAsia" w:ascii="仿宋_GB2312" w:hAnsi="仿宋_GB2312" w:eastAsia="仿宋_GB2312" w:cs="仿宋_GB2312"/>
          <w:b w:val="0"/>
          <w:bCs/>
          <w:color w:val="auto"/>
          <w:spacing w:val="0"/>
          <w:w w:val="100"/>
          <w:position w:val="0"/>
          <w:sz w:val="32"/>
          <w:szCs w:val="32"/>
          <w:lang w:val="en-US" w:eastAsia="zh-CN"/>
        </w:rPr>
        <w:t>员，</w:t>
      </w:r>
      <w:r>
        <w:rPr>
          <w:rFonts w:hint="eastAsia" w:ascii="仿宋_GB2312" w:hAnsi="仿宋_GB2312" w:eastAsia="仿宋_GB2312" w:cs="仿宋_GB2312"/>
          <w:b w:val="0"/>
          <w:bCs/>
          <w:color w:val="auto"/>
          <w:spacing w:val="0"/>
          <w:w w:val="100"/>
          <w:position w:val="0"/>
          <w:sz w:val="32"/>
          <w:szCs w:val="32"/>
          <w:lang w:eastAsia="zh-CN"/>
        </w:rPr>
        <w:t>各</w:t>
      </w:r>
      <w:r>
        <w:rPr>
          <w:rFonts w:hint="eastAsia" w:ascii="仿宋_GB2312" w:hAnsi="仿宋_GB2312" w:eastAsia="仿宋_GB2312" w:cs="仿宋_GB2312"/>
          <w:b w:val="0"/>
          <w:bCs/>
          <w:color w:val="auto"/>
          <w:spacing w:val="0"/>
          <w:w w:val="100"/>
          <w:position w:val="0"/>
          <w:sz w:val="32"/>
          <w:szCs w:val="32"/>
        </w:rPr>
        <w:t>政策措施制定机关的</w:t>
      </w:r>
      <w:r>
        <w:rPr>
          <w:rFonts w:hint="eastAsia" w:ascii="仿宋_GB2312" w:hAnsi="仿宋_GB2312" w:eastAsia="仿宋_GB2312" w:cs="仿宋_GB2312"/>
          <w:b w:val="0"/>
          <w:bCs/>
          <w:color w:val="auto"/>
          <w:spacing w:val="0"/>
          <w:w w:val="100"/>
          <w:position w:val="0"/>
          <w:sz w:val="32"/>
          <w:szCs w:val="32"/>
          <w:lang w:val="en-US" w:eastAsia="zh-CN"/>
        </w:rPr>
        <w:t>职能</w:t>
      </w:r>
      <w:r>
        <w:rPr>
          <w:rFonts w:hint="eastAsia" w:ascii="仿宋_GB2312" w:hAnsi="仿宋_GB2312" w:eastAsia="仿宋_GB2312" w:cs="仿宋_GB2312"/>
          <w:b w:val="0"/>
          <w:bCs/>
          <w:color w:val="auto"/>
          <w:spacing w:val="0"/>
          <w:w w:val="100"/>
          <w:position w:val="0"/>
          <w:sz w:val="32"/>
          <w:szCs w:val="32"/>
          <w:lang w:eastAsia="zh-CN"/>
        </w:rPr>
        <w:t>科</w:t>
      </w:r>
      <w:r>
        <w:rPr>
          <w:rFonts w:hint="eastAsia" w:ascii="仿宋_GB2312" w:hAnsi="仿宋_GB2312" w:eastAsia="仿宋_GB2312" w:cs="仿宋_GB2312"/>
          <w:b w:val="0"/>
          <w:bCs/>
          <w:color w:val="auto"/>
          <w:spacing w:val="0"/>
          <w:w w:val="100"/>
          <w:position w:val="0"/>
          <w:sz w:val="32"/>
          <w:szCs w:val="32"/>
          <w:lang w:val="en-US" w:eastAsia="zh-CN"/>
        </w:rPr>
        <w:t>室也要重点学习，确保</w:t>
      </w:r>
      <w:r>
        <w:rPr>
          <w:rFonts w:hint="eastAsia" w:ascii="仿宋_GB2312" w:hAnsi="仿宋_GB2312" w:eastAsia="仿宋_GB2312" w:cs="仿宋_GB2312"/>
          <w:b w:val="0"/>
          <w:bCs/>
          <w:color w:val="auto"/>
          <w:spacing w:val="0"/>
          <w:w w:val="100"/>
          <w:position w:val="0"/>
          <w:sz w:val="32"/>
          <w:szCs w:val="32"/>
          <w:lang w:eastAsia="zh-CN"/>
        </w:rPr>
        <w:t>各</w:t>
      </w:r>
      <w:r>
        <w:rPr>
          <w:rFonts w:hint="eastAsia" w:ascii="仿宋_GB2312" w:hAnsi="仿宋_GB2312" w:eastAsia="仿宋_GB2312" w:cs="仿宋_GB2312"/>
          <w:b w:val="0"/>
          <w:bCs/>
          <w:color w:val="auto"/>
          <w:spacing w:val="0"/>
          <w:w w:val="100"/>
          <w:position w:val="0"/>
          <w:sz w:val="32"/>
          <w:szCs w:val="32"/>
        </w:rPr>
        <w:t>政策措施制定机关</w:t>
      </w:r>
      <w:r>
        <w:rPr>
          <w:rFonts w:hint="eastAsia" w:ascii="仿宋_GB2312" w:hAnsi="仿宋_GB2312" w:eastAsia="仿宋_GB2312" w:cs="仿宋_GB2312"/>
          <w:b w:val="0"/>
          <w:bCs/>
          <w:color w:val="auto"/>
          <w:spacing w:val="0"/>
          <w:w w:val="100"/>
          <w:position w:val="0"/>
          <w:sz w:val="32"/>
          <w:szCs w:val="32"/>
          <w:lang w:val="en-US" w:eastAsia="zh-CN"/>
        </w:rPr>
        <w:t>文件能够按照公平竞争审查机制进行审查。</w:t>
      </w:r>
    </w:p>
    <w:p>
      <w:pPr>
        <w:keepNext w:val="0"/>
        <w:keepLines w:val="0"/>
        <w:pageBreakBefore w:val="0"/>
        <w:widowControl/>
        <w:kinsoku/>
        <w:wordWrap/>
        <w:overflowPunct/>
        <w:topLinePunct/>
        <w:autoSpaceDE/>
        <w:autoSpaceDN/>
        <w:bidi w:val="0"/>
        <w:adjustRightInd/>
        <w:snapToGrid/>
        <w:spacing w:beforeAutospacing="0" w:afterAutospacing="0" w:line="540" w:lineRule="exact"/>
        <w:ind w:left="0" w:leftChars="0" w:right="0" w:firstLine="643" w:firstLineChars="200"/>
        <w:jc w:val="both"/>
        <w:textAlignment w:val="auto"/>
        <w:outlineLvl w:val="9"/>
        <w:rPr>
          <w:rFonts w:hint="eastAsia" w:ascii="仿宋_GB2312" w:hAnsi="仿宋_GB2312" w:eastAsia="仿宋_GB2312" w:cs="仿宋_GB2312"/>
          <w:b w:val="0"/>
          <w:bCs/>
          <w:color w:val="auto"/>
          <w:spacing w:val="0"/>
          <w:w w:val="100"/>
          <w:position w:val="0"/>
          <w:sz w:val="32"/>
          <w:szCs w:val="32"/>
          <w:lang w:val="en-US" w:eastAsia="zh-CN"/>
        </w:rPr>
      </w:pPr>
      <w:r>
        <w:rPr>
          <w:rFonts w:hint="eastAsia" w:ascii="仿宋_GB2312" w:hAnsi="仿宋_GB2312" w:eastAsia="仿宋_GB2312" w:cs="仿宋_GB2312"/>
          <w:b/>
          <w:bCs w:val="0"/>
          <w:color w:val="auto"/>
          <w:spacing w:val="0"/>
          <w:w w:val="100"/>
          <w:position w:val="0"/>
          <w:sz w:val="32"/>
          <w:szCs w:val="32"/>
          <w:lang w:val="en-US" w:eastAsia="zh-CN"/>
        </w:rPr>
        <w:t>二是通过案例教育加深对公平竞争审查内容的理解，</w:t>
      </w:r>
      <w:r>
        <w:rPr>
          <w:rFonts w:hint="eastAsia" w:ascii="仿宋_GB2312" w:hAnsi="仿宋_GB2312" w:eastAsia="仿宋_GB2312" w:cs="仿宋_GB2312"/>
          <w:b w:val="0"/>
          <w:bCs/>
          <w:color w:val="auto"/>
          <w:spacing w:val="0"/>
          <w:w w:val="100"/>
          <w:position w:val="0"/>
          <w:sz w:val="32"/>
          <w:szCs w:val="32"/>
          <w:lang w:val="en-US" w:eastAsia="zh-CN"/>
        </w:rPr>
        <w:t>学习本</w:t>
      </w:r>
      <w:r>
        <w:rPr>
          <w:rFonts w:hint="eastAsia" w:ascii="仿宋_GB2312" w:hAnsi="仿宋_GB2312" w:eastAsia="仿宋_GB2312" w:cs="仿宋_GB2312"/>
          <w:b w:val="0"/>
          <w:bCs/>
          <w:color w:val="auto"/>
          <w:spacing w:val="0"/>
          <w:w w:val="100"/>
          <w:position w:val="0"/>
          <w:sz w:val="32"/>
          <w:szCs w:val="32"/>
          <w:lang w:eastAsia="zh-CN"/>
        </w:rPr>
        <w:t>县</w:t>
      </w:r>
      <w:r>
        <w:rPr>
          <w:rFonts w:hint="eastAsia" w:ascii="仿宋_GB2312" w:hAnsi="仿宋_GB2312" w:eastAsia="仿宋_GB2312" w:cs="仿宋_GB2312"/>
          <w:b w:val="0"/>
          <w:bCs/>
          <w:color w:val="auto"/>
          <w:spacing w:val="0"/>
          <w:w w:val="100"/>
          <w:position w:val="0"/>
          <w:sz w:val="32"/>
          <w:szCs w:val="32"/>
          <w:lang w:val="en-US" w:eastAsia="zh-CN"/>
        </w:rPr>
        <w:t>已发现的违反公平竞争审查标准</w:t>
      </w:r>
      <w:r>
        <w:rPr>
          <w:rFonts w:hint="eastAsia" w:ascii="仿宋_GB2312" w:hAnsi="仿宋_GB2312" w:eastAsia="仿宋_GB2312" w:cs="仿宋_GB2312"/>
          <w:b w:val="0"/>
          <w:bCs/>
          <w:color w:val="auto"/>
          <w:spacing w:val="0"/>
          <w:w w:val="100"/>
          <w:position w:val="0"/>
          <w:sz w:val="32"/>
          <w:szCs w:val="32"/>
          <w:lang w:eastAsia="zh-CN"/>
        </w:rPr>
        <w:t>的</w:t>
      </w:r>
      <w:r>
        <w:rPr>
          <w:rFonts w:hint="eastAsia" w:ascii="仿宋_GB2312" w:hAnsi="仿宋_GB2312" w:eastAsia="仿宋_GB2312" w:cs="仿宋_GB2312"/>
          <w:b w:val="0"/>
          <w:bCs/>
          <w:color w:val="auto"/>
          <w:spacing w:val="0"/>
          <w:w w:val="100"/>
          <w:position w:val="0"/>
          <w:sz w:val="32"/>
          <w:szCs w:val="32"/>
          <w:lang w:val="en-US" w:eastAsia="zh-CN"/>
        </w:rPr>
        <w:t>案</w:t>
      </w:r>
      <w:r>
        <w:rPr>
          <w:rFonts w:hint="eastAsia" w:ascii="仿宋_GB2312" w:hAnsi="仿宋_GB2312" w:eastAsia="仿宋_GB2312" w:cs="仿宋_GB2312"/>
          <w:b w:val="0"/>
          <w:bCs/>
          <w:color w:val="auto"/>
          <w:spacing w:val="0"/>
          <w:w w:val="100"/>
          <w:position w:val="0"/>
          <w:sz w:val="32"/>
          <w:szCs w:val="32"/>
          <w:lang w:eastAsia="zh-CN"/>
        </w:rPr>
        <w:t>件</w:t>
      </w:r>
      <w:r>
        <w:rPr>
          <w:rFonts w:hint="eastAsia" w:ascii="仿宋_GB2312" w:hAnsi="仿宋_GB2312" w:eastAsia="仿宋_GB2312" w:cs="仿宋_GB2312"/>
          <w:b w:val="0"/>
          <w:bCs/>
          <w:color w:val="auto"/>
          <w:spacing w:val="0"/>
          <w:w w:val="100"/>
          <w:position w:val="0"/>
          <w:sz w:val="32"/>
          <w:szCs w:val="32"/>
          <w:lang w:val="en-US" w:eastAsia="zh-CN"/>
        </w:rPr>
        <w:t>，以及全省、全市典型案例，熟练掌握公平竞争审查标准</w:t>
      </w:r>
      <w:r>
        <w:rPr>
          <w:rFonts w:hint="eastAsia" w:ascii="仿宋_GB2312" w:hAnsi="仿宋_GB2312" w:eastAsia="仿宋_GB2312" w:cs="仿宋_GB2312"/>
          <w:b w:val="0"/>
          <w:bCs/>
          <w:color w:val="auto"/>
          <w:spacing w:val="0"/>
          <w:w w:val="100"/>
          <w:position w:val="0"/>
          <w:sz w:val="32"/>
          <w:szCs w:val="32"/>
          <w:lang w:eastAsia="zh-CN"/>
        </w:rPr>
        <w:t>，</w:t>
      </w:r>
      <w:r>
        <w:rPr>
          <w:rFonts w:hint="eastAsia" w:ascii="仿宋_GB2312" w:hAnsi="仿宋_GB2312" w:eastAsia="仿宋_GB2312" w:cs="仿宋_GB2312"/>
          <w:b w:val="0"/>
          <w:bCs/>
          <w:color w:val="auto"/>
          <w:spacing w:val="0"/>
          <w:w w:val="100"/>
          <w:position w:val="0"/>
          <w:sz w:val="32"/>
          <w:szCs w:val="32"/>
          <w:lang w:val="en-US" w:eastAsia="zh-CN"/>
        </w:rPr>
        <w:t>此类</w:t>
      </w:r>
      <w:r>
        <w:rPr>
          <w:rFonts w:hint="eastAsia" w:ascii="仿宋_GB2312" w:hAnsi="仿宋_GB2312" w:eastAsia="仿宋_GB2312" w:cs="仿宋_GB2312"/>
          <w:b w:val="0"/>
          <w:bCs/>
          <w:color w:val="auto"/>
          <w:spacing w:val="0"/>
          <w:w w:val="100"/>
          <w:position w:val="0"/>
          <w:sz w:val="32"/>
          <w:szCs w:val="32"/>
          <w:lang w:eastAsia="zh-CN"/>
        </w:rPr>
        <w:t>培训既可以</w:t>
      </w:r>
      <w:r>
        <w:rPr>
          <w:rFonts w:hint="eastAsia" w:ascii="仿宋_GB2312" w:hAnsi="仿宋_GB2312" w:eastAsia="仿宋_GB2312" w:cs="仿宋_GB2312"/>
          <w:b w:val="0"/>
          <w:bCs/>
          <w:color w:val="auto"/>
          <w:spacing w:val="0"/>
          <w:w w:val="100"/>
          <w:position w:val="0"/>
          <w:sz w:val="32"/>
          <w:szCs w:val="32"/>
          <w:lang w:val="en-US" w:eastAsia="zh-CN"/>
        </w:rPr>
        <w:t>避免</w:t>
      </w:r>
      <w:r>
        <w:rPr>
          <w:rFonts w:hint="eastAsia" w:ascii="仿宋_GB2312" w:hAnsi="仿宋_GB2312" w:eastAsia="仿宋_GB2312" w:cs="仿宋_GB2312"/>
          <w:b w:val="0"/>
          <w:bCs/>
          <w:color w:val="auto"/>
          <w:spacing w:val="0"/>
          <w:w w:val="100"/>
          <w:position w:val="0"/>
          <w:sz w:val="32"/>
          <w:szCs w:val="32"/>
          <w:lang w:eastAsia="zh-CN"/>
        </w:rPr>
        <w:t>各</w:t>
      </w:r>
      <w:r>
        <w:rPr>
          <w:rFonts w:hint="eastAsia" w:ascii="仿宋_GB2312" w:hAnsi="仿宋_GB2312" w:eastAsia="仿宋_GB2312" w:cs="仿宋_GB2312"/>
          <w:b w:val="0"/>
          <w:bCs/>
          <w:color w:val="auto"/>
          <w:spacing w:val="0"/>
          <w:w w:val="100"/>
          <w:position w:val="0"/>
          <w:sz w:val="32"/>
          <w:szCs w:val="32"/>
        </w:rPr>
        <w:t>政策措施制定机关</w:t>
      </w:r>
      <w:r>
        <w:rPr>
          <w:rFonts w:hint="eastAsia" w:ascii="仿宋_GB2312" w:hAnsi="仿宋_GB2312" w:eastAsia="仿宋_GB2312" w:cs="仿宋_GB2312"/>
          <w:b w:val="0"/>
          <w:bCs/>
          <w:color w:val="auto"/>
          <w:spacing w:val="0"/>
          <w:w w:val="100"/>
          <w:position w:val="0"/>
          <w:sz w:val="32"/>
          <w:szCs w:val="32"/>
          <w:lang w:val="en-US" w:eastAsia="zh-CN"/>
        </w:rPr>
        <w:t>出台违反公平竞争审查标准的文件,</w:t>
      </w:r>
      <w:r>
        <w:rPr>
          <w:rFonts w:hint="eastAsia" w:ascii="仿宋_GB2312" w:hAnsi="仿宋_GB2312" w:eastAsia="仿宋_GB2312" w:cs="仿宋_GB2312"/>
          <w:b w:val="0"/>
          <w:bCs/>
          <w:color w:val="auto"/>
          <w:spacing w:val="0"/>
          <w:w w:val="100"/>
          <w:position w:val="0"/>
          <w:sz w:val="32"/>
          <w:szCs w:val="32"/>
          <w:lang w:eastAsia="zh-CN"/>
        </w:rPr>
        <w:t>也利于各</w:t>
      </w:r>
      <w:r>
        <w:rPr>
          <w:rFonts w:hint="eastAsia" w:ascii="仿宋_GB2312" w:hAnsi="仿宋_GB2312" w:eastAsia="仿宋_GB2312" w:cs="仿宋_GB2312"/>
          <w:b w:val="0"/>
          <w:bCs/>
          <w:color w:val="auto"/>
          <w:spacing w:val="0"/>
          <w:w w:val="100"/>
          <w:position w:val="0"/>
          <w:sz w:val="32"/>
          <w:szCs w:val="32"/>
        </w:rPr>
        <w:t>政策措施制定机关</w:t>
      </w:r>
      <w:r>
        <w:rPr>
          <w:rFonts w:hint="eastAsia" w:ascii="仿宋_GB2312" w:hAnsi="仿宋_GB2312" w:eastAsia="仿宋_GB2312" w:cs="仿宋_GB2312"/>
          <w:b w:val="0"/>
          <w:bCs/>
          <w:color w:val="auto"/>
          <w:spacing w:val="0"/>
          <w:w w:val="100"/>
          <w:position w:val="0"/>
          <w:sz w:val="32"/>
          <w:szCs w:val="32"/>
          <w:lang w:val="en-US" w:eastAsia="zh-CN"/>
        </w:rPr>
        <w:t>负责公平竞争审查的职能人员发现所制定的政策措施</w:t>
      </w:r>
      <w:r>
        <w:rPr>
          <w:rFonts w:hint="eastAsia" w:ascii="仿宋_GB2312" w:hAnsi="仿宋_GB2312" w:eastAsia="仿宋_GB2312" w:cs="仿宋_GB2312"/>
          <w:b w:val="0"/>
          <w:bCs/>
          <w:color w:val="auto"/>
          <w:spacing w:val="0"/>
          <w:w w:val="100"/>
          <w:position w:val="0"/>
          <w:sz w:val="32"/>
          <w:szCs w:val="32"/>
          <w:lang w:eastAsia="zh-CN"/>
        </w:rPr>
        <w:t>是否存在</w:t>
      </w:r>
      <w:r>
        <w:rPr>
          <w:rFonts w:hint="eastAsia" w:ascii="仿宋_GB2312" w:hAnsi="仿宋_GB2312" w:eastAsia="仿宋_GB2312" w:cs="仿宋_GB2312"/>
          <w:b w:val="0"/>
          <w:bCs/>
          <w:color w:val="auto"/>
          <w:spacing w:val="0"/>
          <w:w w:val="100"/>
          <w:position w:val="0"/>
          <w:sz w:val="32"/>
          <w:szCs w:val="32"/>
          <w:lang w:val="en-US" w:eastAsia="zh-CN"/>
        </w:rPr>
        <w:t>违反公平竞争审查标准的内容。</w:t>
      </w:r>
    </w:p>
    <w:p>
      <w:pPr>
        <w:keepNext w:val="0"/>
        <w:keepLines w:val="0"/>
        <w:pageBreakBefore w:val="0"/>
        <w:widowControl/>
        <w:numPr>
          <w:ilvl w:val="0"/>
          <w:numId w:val="0"/>
        </w:numPr>
        <w:kinsoku/>
        <w:wordWrap/>
        <w:overflowPunct/>
        <w:topLinePunct/>
        <w:autoSpaceDE/>
        <w:autoSpaceDN/>
        <w:bidi w:val="0"/>
        <w:adjustRightInd/>
        <w:snapToGrid/>
        <w:spacing w:beforeAutospacing="0" w:afterAutospacing="0" w:line="540" w:lineRule="exact"/>
        <w:ind w:right="0" w:rightChars="0" w:firstLine="640" w:firstLineChars="200"/>
        <w:jc w:val="both"/>
        <w:textAlignment w:val="auto"/>
        <w:outlineLvl w:val="1"/>
        <w:rPr>
          <w:rFonts w:hint="eastAsia" w:ascii="楷体_GB2312" w:hAnsi="楷体_GB2312" w:eastAsia="楷体_GB2312" w:cs="楷体_GB2312"/>
          <w:b w:val="0"/>
          <w:bCs/>
          <w:color w:val="auto"/>
          <w:spacing w:val="0"/>
          <w:w w:val="100"/>
          <w:position w:val="0"/>
          <w:sz w:val="32"/>
          <w:szCs w:val="32"/>
          <w:lang w:val="en-US" w:eastAsia="zh-CN"/>
        </w:rPr>
      </w:pPr>
      <w:bookmarkStart w:id="26" w:name="_Toc14870"/>
      <w:r>
        <w:rPr>
          <w:rFonts w:hint="eastAsia" w:ascii="楷体_GB2312" w:hAnsi="楷体_GB2312" w:eastAsia="楷体_GB2312" w:cs="楷体_GB2312"/>
          <w:b w:val="0"/>
          <w:bCs/>
          <w:color w:val="auto"/>
          <w:spacing w:val="0"/>
          <w:w w:val="100"/>
          <w:position w:val="0"/>
          <w:sz w:val="32"/>
          <w:szCs w:val="32"/>
          <w:lang w:val="en-US" w:eastAsia="zh-CN"/>
        </w:rPr>
        <w:t>（三）聘请第三方进行审查，增强审查专业性</w:t>
      </w:r>
      <w:bookmarkEnd w:id="26"/>
    </w:p>
    <w:p>
      <w:pPr>
        <w:keepNext w:val="0"/>
        <w:keepLines w:val="0"/>
        <w:pageBreakBefore w:val="0"/>
        <w:widowControl/>
        <w:kinsoku/>
        <w:wordWrap/>
        <w:overflowPunct/>
        <w:topLinePunct/>
        <w:autoSpaceDE/>
        <w:autoSpaceDN/>
        <w:bidi w:val="0"/>
        <w:adjustRightInd/>
        <w:snapToGrid/>
        <w:spacing w:beforeAutospacing="0" w:afterAutospacing="0" w:line="540" w:lineRule="exact"/>
        <w:ind w:left="0" w:leftChars="0" w:right="0" w:firstLine="640" w:firstLineChars="200"/>
        <w:jc w:val="both"/>
        <w:textAlignment w:val="auto"/>
        <w:outlineLvl w:val="9"/>
        <w:rPr>
          <w:rFonts w:hint="eastAsia" w:ascii="仿宋_GB2312" w:hAnsi="仿宋_GB2312" w:eastAsia="仿宋_GB2312" w:cs="仿宋_GB2312"/>
          <w:b w:val="0"/>
          <w:bCs/>
          <w:color w:val="auto"/>
          <w:spacing w:val="0"/>
          <w:w w:val="100"/>
          <w:position w:val="0"/>
          <w:sz w:val="32"/>
          <w:szCs w:val="32"/>
          <w:lang w:val="en-US" w:eastAsia="zh-CN"/>
        </w:rPr>
      </w:pPr>
      <w:r>
        <w:rPr>
          <w:rFonts w:hint="eastAsia" w:ascii="仿宋_GB2312" w:hAnsi="仿宋_GB2312" w:eastAsia="仿宋_GB2312" w:cs="仿宋_GB2312"/>
          <w:b w:val="0"/>
          <w:bCs/>
          <w:color w:val="auto"/>
          <w:spacing w:val="0"/>
          <w:w w:val="100"/>
          <w:position w:val="0"/>
          <w:sz w:val="32"/>
          <w:szCs w:val="32"/>
          <w:lang w:val="en-US" w:eastAsia="zh-CN"/>
        </w:rPr>
        <w:t>公平竞争审查工作涉及专业性和政策性较强，对于工作与政策措施制定涉及市场主体的高台县,出台的政策措施需进行严格的公平竞争审查。目前，公平竞争审查工作主要采取</w:t>
      </w:r>
      <w:r>
        <w:rPr>
          <w:rFonts w:hint="eastAsia" w:ascii="仿宋_GB2312" w:hAnsi="仿宋_GB2312" w:eastAsia="仿宋_GB2312" w:cs="仿宋_GB2312"/>
          <w:b w:val="0"/>
          <w:bCs/>
          <w:color w:val="auto"/>
          <w:spacing w:val="0"/>
          <w:w w:val="100"/>
          <w:position w:val="0"/>
          <w:sz w:val="32"/>
          <w:szCs w:val="32"/>
          <w:lang w:eastAsia="zh-CN"/>
        </w:rPr>
        <w:t>各</w:t>
      </w:r>
      <w:r>
        <w:rPr>
          <w:rFonts w:hint="eastAsia" w:ascii="仿宋_GB2312" w:hAnsi="仿宋_GB2312" w:eastAsia="仿宋_GB2312" w:cs="仿宋_GB2312"/>
          <w:b w:val="0"/>
          <w:bCs/>
          <w:color w:val="auto"/>
          <w:spacing w:val="0"/>
          <w:w w:val="100"/>
          <w:position w:val="0"/>
          <w:sz w:val="32"/>
          <w:szCs w:val="32"/>
        </w:rPr>
        <w:t>政策措施制定机关</w:t>
      </w:r>
      <w:r>
        <w:rPr>
          <w:rFonts w:hint="eastAsia" w:ascii="仿宋_GB2312" w:hAnsi="仿宋_GB2312" w:eastAsia="仿宋_GB2312" w:cs="仿宋_GB2312"/>
          <w:b w:val="0"/>
          <w:bCs/>
          <w:color w:val="auto"/>
          <w:spacing w:val="0"/>
          <w:w w:val="100"/>
          <w:position w:val="0"/>
          <w:sz w:val="32"/>
          <w:szCs w:val="32"/>
          <w:lang w:val="en-US" w:eastAsia="zh-CN"/>
        </w:rPr>
        <w:t>起草科室自查，再提交</w:t>
      </w:r>
      <w:r>
        <w:rPr>
          <w:rFonts w:hint="eastAsia" w:ascii="仿宋_GB2312" w:hAnsi="仿宋_GB2312" w:eastAsia="仿宋_GB2312" w:cs="仿宋_GB2312"/>
          <w:b w:val="0"/>
          <w:bCs/>
          <w:color w:val="auto"/>
          <w:spacing w:val="0"/>
          <w:w w:val="100"/>
          <w:position w:val="0"/>
          <w:sz w:val="32"/>
          <w:szCs w:val="32"/>
          <w:lang w:eastAsia="zh-CN"/>
        </w:rPr>
        <w:t>本单位</w:t>
      </w:r>
      <w:r>
        <w:rPr>
          <w:rFonts w:hint="eastAsia" w:ascii="仿宋_GB2312" w:hAnsi="仿宋_GB2312" w:eastAsia="仿宋_GB2312" w:cs="仿宋_GB2312"/>
          <w:b w:val="0"/>
          <w:bCs/>
          <w:color w:val="auto"/>
          <w:spacing w:val="0"/>
          <w:w w:val="100"/>
          <w:position w:val="0"/>
          <w:sz w:val="32"/>
          <w:szCs w:val="32"/>
          <w:lang w:val="en-US" w:eastAsia="zh-CN"/>
        </w:rPr>
        <w:t>法规科或办公室复查的形式,审查人员工作量大，审查质量难以保证，很多文件的审查流于形式，差错率高。因此，建议联合外部的专业力量和团队，采取第三方审查方式，推动审查工作更精准、更专业、更高效，力求形式内容并重，提升审查结论的科学性、准确性。</w:t>
      </w:r>
    </w:p>
    <w:p>
      <w:pPr>
        <w:keepNext w:val="0"/>
        <w:keepLines w:val="0"/>
        <w:pageBreakBefore w:val="0"/>
        <w:widowControl/>
        <w:numPr>
          <w:ilvl w:val="0"/>
          <w:numId w:val="0"/>
        </w:numPr>
        <w:kinsoku/>
        <w:wordWrap/>
        <w:overflowPunct/>
        <w:topLinePunct/>
        <w:autoSpaceDE/>
        <w:autoSpaceDN/>
        <w:bidi w:val="0"/>
        <w:adjustRightInd/>
        <w:snapToGrid/>
        <w:spacing w:beforeAutospacing="0" w:afterAutospacing="0" w:line="540" w:lineRule="exact"/>
        <w:ind w:right="0" w:rightChars="0" w:firstLine="640" w:firstLineChars="200"/>
        <w:jc w:val="both"/>
        <w:textAlignment w:val="auto"/>
        <w:outlineLvl w:val="1"/>
        <w:rPr>
          <w:rFonts w:hint="eastAsia" w:ascii="楷体_GB2312" w:hAnsi="楷体_GB2312" w:eastAsia="楷体_GB2312" w:cs="楷体_GB2312"/>
          <w:b w:val="0"/>
          <w:bCs/>
          <w:color w:val="auto"/>
          <w:spacing w:val="0"/>
          <w:w w:val="100"/>
          <w:position w:val="0"/>
          <w:sz w:val="32"/>
          <w:szCs w:val="32"/>
          <w:lang w:val="en-US" w:eastAsia="zh-CN"/>
        </w:rPr>
      </w:pPr>
      <w:bookmarkStart w:id="27" w:name="_Toc28840"/>
      <w:r>
        <w:rPr>
          <w:rFonts w:hint="eastAsia" w:ascii="楷体_GB2312" w:hAnsi="楷体_GB2312" w:eastAsia="楷体_GB2312" w:cs="楷体_GB2312"/>
          <w:b w:val="0"/>
          <w:bCs/>
          <w:color w:val="auto"/>
          <w:spacing w:val="0"/>
          <w:w w:val="100"/>
          <w:position w:val="0"/>
          <w:sz w:val="32"/>
          <w:szCs w:val="32"/>
          <w:lang w:val="en-US" w:eastAsia="zh-CN"/>
        </w:rPr>
        <w:t>（四）利用好公平竞争审查投诉举报回应机制</w:t>
      </w:r>
      <w:bookmarkEnd w:id="27"/>
    </w:p>
    <w:p>
      <w:pPr>
        <w:keepNext w:val="0"/>
        <w:keepLines w:val="0"/>
        <w:pageBreakBefore w:val="0"/>
        <w:widowControl/>
        <w:kinsoku/>
        <w:wordWrap/>
        <w:overflowPunct/>
        <w:topLinePunct/>
        <w:autoSpaceDE/>
        <w:autoSpaceDN/>
        <w:bidi w:val="0"/>
        <w:adjustRightInd/>
        <w:snapToGrid/>
        <w:spacing w:beforeAutospacing="0" w:afterAutospacing="0" w:line="540" w:lineRule="exact"/>
        <w:ind w:left="0" w:leftChars="0" w:right="0" w:firstLine="640" w:firstLineChars="200"/>
        <w:jc w:val="both"/>
        <w:textAlignment w:val="auto"/>
        <w:outlineLvl w:val="9"/>
        <w:rPr>
          <w:rFonts w:hint="eastAsia" w:ascii="仿宋_GB2312" w:hAnsi="仿宋_GB2312" w:eastAsia="仿宋_GB2312" w:cs="仿宋_GB2312"/>
          <w:b w:val="0"/>
          <w:bCs/>
          <w:color w:val="auto"/>
          <w:spacing w:val="0"/>
          <w:w w:val="100"/>
          <w:position w:val="0"/>
          <w:sz w:val="32"/>
          <w:szCs w:val="32"/>
          <w:lang w:val="en-US" w:eastAsia="zh-CN"/>
        </w:rPr>
      </w:pPr>
      <w:r>
        <w:rPr>
          <w:rFonts w:hint="eastAsia" w:ascii="仿宋_GB2312" w:hAnsi="仿宋_GB2312" w:eastAsia="仿宋_GB2312" w:cs="仿宋_GB2312"/>
          <w:b w:val="0"/>
          <w:bCs/>
          <w:color w:val="auto"/>
          <w:spacing w:val="0"/>
          <w:w w:val="100"/>
          <w:position w:val="0"/>
          <w:sz w:val="32"/>
          <w:szCs w:val="32"/>
          <w:lang w:val="en-US" w:eastAsia="zh-CN"/>
        </w:rPr>
        <w:t>投诉举报回应机制的建立有助于充分发挥公平竞争审查工作中社会监督的作用,是提高公平竞争审查政策透明度的有效途径，高台县可以通过已建立的公平竞争审查投诉举报“一站式”受理与处理机制，及时回应群众关切，发现和纠正政策措施中出现排除和限制竞争的问题。</w:t>
      </w:r>
    </w:p>
    <w:p>
      <w:pPr>
        <w:pStyle w:val="2"/>
        <w:keepNext w:val="0"/>
        <w:keepLines w:val="0"/>
        <w:pageBreakBefore w:val="0"/>
        <w:widowControl/>
        <w:kinsoku/>
        <w:wordWrap/>
        <w:overflowPunct/>
        <w:topLinePunct/>
        <w:autoSpaceDE/>
        <w:autoSpaceDN/>
        <w:bidi w:val="0"/>
        <w:spacing w:before="0" w:after="0" w:line="540" w:lineRule="exact"/>
        <w:ind w:left="0" w:leftChars="0" w:right="0" w:firstLine="640" w:firstLineChars="200"/>
        <w:jc w:val="both"/>
        <w:rPr>
          <w:rFonts w:hint="eastAsia" w:ascii="仿宋_GB2312" w:hAnsi="仿宋_GB2312" w:eastAsia="仿宋_GB2312" w:cs="仿宋_GB2312"/>
          <w:b w:val="0"/>
          <w:bCs/>
          <w:color w:val="auto"/>
          <w:spacing w:val="0"/>
          <w:w w:val="100"/>
          <w:position w:val="0"/>
          <w:sz w:val="32"/>
          <w:szCs w:val="32"/>
          <w:lang w:val="en-US" w:eastAsia="zh-CN"/>
        </w:rPr>
      </w:pPr>
    </w:p>
    <w:p>
      <w:pPr>
        <w:keepNext w:val="0"/>
        <w:keepLines w:val="0"/>
        <w:pageBreakBefore w:val="0"/>
        <w:widowControl/>
        <w:kinsoku/>
        <w:wordWrap/>
        <w:overflowPunct/>
        <w:topLinePunct/>
        <w:autoSpaceDE/>
        <w:autoSpaceDN/>
        <w:bidi w:val="0"/>
        <w:spacing w:line="540" w:lineRule="exact"/>
        <w:ind w:left="0" w:leftChars="0" w:right="0" w:firstLine="640" w:firstLineChars="200"/>
        <w:jc w:val="both"/>
        <w:rPr>
          <w:rFonts w:hint="eastAsia" w:ascii="仿宋_GB2312" w:hAnsi="仿宋_GB2312" w:eastAsia="仿宋_GB2312" w:cs="仿宋_GB2312"/>
          <w:b w:val="0"/>
          <w:bCs/>
          <w:color w:val="auto"/>
          <w:spacing w:val="0"/>
          <w:w w:val="100"/>
          <w:position w:val="0"/>
          <w:sz w:val="32"/>
          <w:szCs w:val="32"/>
          <w:lang w:val="en-US" w:eastAsia="zh-CN"/>
        </w:rPr>
      </w:pPr>
    </w:p>
    <w:p>
      <w:pPr>
        <w:pStyle w:val="2"/>
        <w:keepNext w:val="0"/>
        <w:keepLines w:val="0"/>
        <w:pageBreakBefore w:val="0"/>
        <w:widowControl/>
        <w:kinsoku/>
        <w:wordWrap/>
        <w:overflowPunct/>
        <w:topLinePunct/>
        <w:autoSpaceDE/>
        <w:autoSpaceDN/>
        <w:bidi w:val="0"/>
        <w:spacing w:before="0" w:after="0" w:line="540" w:lineRule="exact"/>
        <w:ind w:left="0" w:leftChars="0" w:right="0" w:firstLine="640" w:firstLineChars="200"/>
        <w:jc w:val="both"/>
        <w:rPr>
          <w:rFonts w:hint="eastAsia" w:ascii="仿宋_GB2312" w:hAnsi="仿宋_GB2312" w:eastAsia="仿宋_GB2312" w:cs="仿宋_GB2312"/>
          <w:b w:val="0"/>
          <w:bCs/>
          <w:color w:val="auto"/>
          <w:spacing w:val="0"/>
          <w:w w:val="100"/>
          <w:position w:val="0"/>
          <w:sz w:val="32"/>
          <w:szCs w:val="32"/>
          <w:lang w:val="en-US" w:eastAsia="zh-CN"/>
        </w:rPr>
      </w:pPr>
    </w:p>
    <w:p>
      <w:pPr>
        <w:keepNext w:val="0"/>
        <w:keepLines w:val="0"/>
        <w:pageBreakBefore w:val="0"/>
        <w:widowControl/>
        <w:kinsoku/>
        <w:wordWrap w:val="0"/>
        <w:overflowPunct/>
        <w:topLinePunct/>
        <w:autoSpaceDE/>
        <w:autoSpaceDN/>
        <w:bidi w:val="0"/>
        <w:spacing w:line="540" w:lineRule="exact"/>
        <w:ind w:left="0" w:leftChars="0" w:right="0" w:firstLine="640" w:firstLineChars="200"/>
        <w:jc w:val="right"/>
        <w:rPr>
          <w:rFonts w:hint="default" w:ascii="仿宋_GB2312" w:hAnsi="仿宋_GB2312" w:eastAsia="仿宋_GB2312" w:cs="仿宋_GB2312"/>
          <w:b w:val="0"/>
          <w:bCs/>
          <w:color w:val="auto"/>
          <w:spacing w:val="0"/>
          <w:w w:val="100"/>
          <w:position w:val="0"/>
          <w:sz w:val="32"/>
          <w:szCs w:val="32"/>
          <w:lang w:val="en-US" w:eastAsia="zh-CN"/>
        </w:rPr>
      </w:pPr>
      <w:r>
        <w:rPr>
          <w:rFonts w:hint="eastAsia" w:ascii="仿宋_GB2312" w:hAnsi="仿宋_GB2312" w:eastAsia="仿宋_GB2312" w:cs="仿宋_GB2312"/>
          <w:b w:val="0"/>
          <w:bCs/>
          <w:color w:val="auto"/>
          <w:spacing w:val="0"/>
          <w:w w:val="100"/>
          <w:position w:val="0"/>
          <w:sz w:val="32"/>
          <w:szCs w:val="32"/>
          <w:lang w:val="en-US" w:eastAsia="zh-CN"/>
        </w:rPr>
        <w:t xml:space="preserve">甘肃金彤律师事务所   </w:t>
      </w:r>
    </w:p>
    <w:p>
      <w:pPr>
        <w:keepNext w:val="0"/>
        <w:keepLines w:val="0"/>
        <w:pageBreakBefore w:val="0"/>
        <w:widowControl/>
        <w:kinsoku/>
        <w:wordWrap w:val="0"/>
        <w:overflowPunct/>
        <w:topLinePunct/>
        <w:autoSpaceDE/>
        <w:autoSpaceDN/>
        <w:bidi w:val="0"/>
        <w:spacing w:line="540" w:lineRule="exact"/>
        <w:ind w:left="0" w:leftChars="0" w:right="0" w:firstLine="640" w:firstLineChars="200"/>
        <w:jc w:val="right"/>
        <w:rPr>
          <w:rFonts w:hint="default"/>
          <w:b w:val="0"/>
          <w:bCs/>
          <w:color w:val="auto"/>
          <w:spacing w:val="0"/>
          <w:w w:val="100"/>
          <w:position w:val="0"/>
          <w:sz w:val="32"/>
          <w:szCs w:val="32"/>
          <w:lang w:val="en-US" w:eastAsia="zh-CN"/>
        </w:rPr>
        <w:sectPr>
          <w:footerReference r:id="rId3" w:type="default"/>
          <w:pgSz w:w="11906" w:h="16839"/>
          <w:pgMar w:top="2098" w:right="1474" w:bottom="1984" w:left="1587" w:header="850" w:footer="1417" w:gutter="0"/>
          <w:pgBorders>
            <w:top w:val="none" w:sz="0" w:space="0"/>
            <w:left w:val="none" w:sz="0" w:space="0"/>
            <w:bottom w:val="none" w:sz="0" w:space="0"/>
            <w:right w:val="none" w:sz="0" w:space="0"/>
          </w:pgBorders>
          <w:pgNumType w:fmt="decimal" w:start="1"/>
          <w:cols w:space="0" w:num="1"/>
          <w:rtlGutter w:val="0"/>
          <w:docGrid w:linePitch="0" w:charSpace="0"/>
        </w:sectPr>
      </w:pPr>
      <w:r>
        <w:rPr>
          <w:rFonts w:hint="eastAsia" w:ascii="仿宋_GB2312" w:hAnsi="仿宋_GB2312" w:eastAsia="仿宋_GB2312" w:cs="仿宋_GB2312"/>
          <w:b w:val="0"/>
          <w:bCs/>
          <w:color w:val="auto"/>
          <w:spacing w:val="0"/>
          <w:w w:val="100"/>
          <w:position w:val="0"/>
          <w:sz w:val="32"/>
          <w:szCs w:val="32"/>
          <w:lang w:val="en-US" w:eastAsia="zh-CN"/>
        </w:rPr>
        <w:t xml:space="preserve">二零二三年四月三十日   </w:t>
      </w:r>
    </w:p>
    <w:p>
      <w:pPr>
        <w:keepNext w:val="0"/>
        <w:keepLines w:val="0"/>
        <w:pageBreakBefore w:val="0"/>
        <w:widowControl/>
        <w:suppressLineNumbers w:val="0"/>
        <w:kinsoku/>
        <w:wordWrap/>
        <w:overflowPunct/>
        <w:topLinePunct/>
        <w:autoSpaceDE/>
        <w:autoSpaceDN/>
        <w:bidi w:val="0"/>
        <w:snapToGrid/>
        <w:spacing w:before="157" w:beforeLines="50" w:beforeAutospacing="0" w:after="157" w:afterLines="50" w:afterAutospacing="0" w:line="540" w:lineRule="exact"/>
        <w:ind w:right="0" w:rightChars="0"/>
        <w:jc w:val="both"/>
        <w:outlineLvl w:val="0"/>
        <w:rPr>
          <w:rFonts w:hint="eastAsia" w:ascii="黑体" w:hAnsi="黑体" w:eastAsia="黑体" w:cs="黑体"/>
          <w:b w:val="0"/>
          <w:bCs/>
          <w:color w:val="auto"/>
          <w:spacing w:val="0"/>
          <w:kern w:val="2"/>
          <w:position w:val="0"/>
          <w:sz w:val="32"/>
          <w:szCs w:val="32"/>
          <w:lang w:val="en-US" w:eastAsia="zh-CN" w:bidi="ar"/>
        </w:rPr>
      </w:pPr>
      <w:bookmarkStart w:id="28" w:name="_bookmark3"/>
      <w:bookmarkEnd w:id="28"/>
      <w:bookmarkStart w:id="29" w:name="_bookmark4"/>
      <w:bookmarkEnd w:id="29"/>
      <w:bookmarkStart w:id="30" w:name="_Toc10801"/>
      <w:r>
        <w:rPr>
          <w:rFonts w:hint="eastAsia" w:ascii="黑体" w:hAnsi="黑体" w:eastAsia="黑体" w:cs="黑体"/>
          <w:b w:val="0"/>
          <w:bCs/>
          <w:color w:val="auto"/>
          <w:spacing w:val="0"/>
          <w:kern w:val="2"/>
          <w:position w:val="0"/>
          <w:sz w:val="32"/>
          <w:szCs w:val="32"/>
          <w:lang w:val="en-US" w:eastAsia="zh-CN" w:bidi="ar"/>
        </w:rPr>
        <w:t>附件一：高台县政策措施文件目录</w:t>
      </w:r>
      <w:bookmarkEnd w:id="30"/>
    </w:p>
    <w:p>
      <w:pPr>
        <w:keepNext w:val="0"/>
        <w:keepLines w:val="0"/>
        <w:widowControl w:val="0"/>
        <w:suppressLineNumbers w:val="0"/>
        <w:snapToGrid/>
        <w:spacing w:beforeAutospacing="0" w:afterAutospacing="0" w:line="360" w:lineRule="auto"/>
        <w:ind w:left="0" w:leftChars="0" w:right="0" w:firstLine="0"/>
        <w:jc w:val="center"/>
        <w:outlineLvl w:val="0"/>
        <w:rPr>
          <w:rFonts w:hint="eastAsia" w:ascii="黑体" w:hAnsi="黑体" w:eastAsia="黑体" w:cs="黑体"/>
          <w:b w:val="0"/>
          <w:bCs/>
          <w:color w:val="auto"/>
          <w:spacing w:val="0"/>
          <w:kern w:val="2"/>
          <w:position w:val="0"/>
          <w:sz w:val="28"/>
          <w:szCs w:val="30"/>
          <w:lang w:val="en-US" w:eastAsia="zh-CN" w:bidi="ar"/>
        </w:rPr>
      </w:pPr>
      <w:bookmarkStart w:id="31" w:name="_Toc26756"/>
      <w:r>
        <w:rPr>
          <w:rFonts w:hint="eastAsia" w:ascii="黑体" w:hAnsi="黑体" w:eastAsia="黑体" w:cs="黑体"/>
          <w:b w:val="0"/>
          <w:bCs/>
          <w:color w:val="auto"/>
          <w:spacing w:val="0"/>
          <w:kern w:val="2"/>
          <w:position w:val="0"/>
          <w:sz w:val="28"/>
          <w:szCs w:val="30"/>
          <w:lang w:val="en-US" w:eastAsia="zh-CN" w:bidi="ar"/>
        </w:rPr>
        <w:t>高台县政策措施文件目录</w:t>
      </w:r>
      <w:bookmarkEnd w:id="31"/>
    </w:p>
    <w:tbl>
      <w:tblPr>
        <w:tblStyle w:val="14"/>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564"/>
        <w:gridCol w:w="1393"/>
        <w:gridCol w:w="4622"/>
        <w:gridCol w:w="1194"/>
        <w:gridCol w:w="1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序号</w:t>
            </w:r>
          </w:p>
        </w:tc>
        <w:tc>
          <w:tcPr>
            <w:tcW w:w="7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25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是否在本次审核时间范围内</w:t>
            </w:r>
          </w:p>
        </w:tc>
        <w:tc>
          <w:tcPr>
            <w:tcW w:w="70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是否涉及市场主体及经济活动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w:t>
            </w:r>
          </w:p>
        </w:tc>
        <w:tc>
          <w:tcPr>
            <w:tcW w:w="7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高政办发〔2021〕10号</w:t>
            </w:r>
          </w:p>
        </w:tc>
        <w:tc>
          <w:tcPr>
            <w:tcW w:w="2551"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高台县人民政府办公室关于印发高台县农业保险助推乡村振兴工作实施方案的通知</w:t>
            </w:r>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c>
          <w:tcPr>
            <w:tcW w:w="70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w:t>
            </w:r>
          </w:p>
        </w:tc>
        <w:tc>
          <w:tcPr>
            <w:tcW w:w="7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高政发〔2021〕12号</w:t>
            </w:r>
          </w:p>
        </w:tc>
        <w:tc>
          <w:tcPr>
            <w:tcW w:w="2551"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关于分解落实2021年全县经济社会发展主要指标和重点工作任务的通知（电子档）</w:t>
            </w:r>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c>
          <w:tcPr>
            <w:tcW w:w="70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w:t>
            </w:r>
          </w:p>
        </w:tc>
        <w:tc>
          <w:tcPr>
            <w:tcW w:w="7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高政办发〔2021〕18号</w:t>
            </w:r>
          </w:p>
        </w:tc>
        <w:tc>
          <w:tcPr>
            <w:tcW w:w="2551"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关于印发高台县县级储备粮管理办法等3个办法的通知</w:t>
            </w:r>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c>
          <w:tcPr>
            <w:tcW w:w="70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w:t>
            </w:r>
          </w:p>
        </w:tc>
        <w:tc>
          <w:tcPr>
            <w:tcW w:w="7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高政发〔2021〕19号</w:t>
            </w:r>
          </w:p>
        </w:tc>
        <w:tc>
          <w:tcPr>
            <w:tcW w:w="2551"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关于印发高台县2021年度国有建设用地供应计划的通知</w:t>
            </w:r>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c>
          <w:tcPr>
            <w:tcW w:w="70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c>
          <w:tcPr>
            <w:tcW w:w="7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高政发〔2021〕25号</w:t>
            </w:r>
          </w:p>
        </w:tc>
        <w:tc>
          <w:tcPr>
            <w:tcW w:w="2551"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关于印发《高台县乡村振兴产业兴旺发展规划（2021—2025年）》的通知（电子版）</w:t>
            </w:r>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c>
          <w:tcPr>
            <w:tcW w:w="70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6</w:t>
            </w:r>
          </w:p>
        </w:tc>
        <w:tc>
          <w:tcPr>
            <w:tcW w:w="7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高政发〔2021〕26号</w:t>
            </w:r>
          </w:p>
        </w:tc>
        <w:tc>
          <w:tcPr>
            <w:tcW w:w="2551"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高台县人民政府关于印发高台县国民经济和社会发展第十四个五年规划和二〇三五年远景目标纲要的通知（1）</w:t>
            </w:r>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c>
          <w:tcPr>
            <w:tcW w:w="70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7</w:t>
            </w:r>
          </w:p>
        </w:tc>
        <w:tc>
          <w:tcPr>
            <w:tcW w:w="7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高政办发〔2021〕27号</w:t>
            </w:r>
          </w:p>
        </w:tc>
        <w:tc>
          <w:tcPr>
            <w:tcW w:w="2551"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高台县人民政府办公室关于进一步加强政府投资项目资金管理有关事项的通知</w:t>
            </w:r>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c>
          <w:tcPr>
            <w:tcW w:w="70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8</w:t>
            </w:r>
          </w:p>
        </w:tc>
        <w:tc>
          <w:tcPr>
            <w:tcW w:w="7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高政办发〔2021〕33号</w:t>
            </w:r>
          </w:p>
        </w:tc>
        <w:tc>
          <w:tcPr>
            <w:tcW w:w="2551"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高台县人民政府办公室关于进一步强化乡村振兴金融支持措施的通知</w:t>
            </w:r>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c>
          <w:tcPr>
            <w:tcW w:w="70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9</w:t>
            </w:r>
          </w:p>
        </w:tc>
        <w:tc>
          <w:tcPr>
            <w:tcW w:w="7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高政发〔2021〕35号</w:t>
            </w:r>
          </w:p>
        </w:tc>
        <w:tc>
          <w:tcPr>
            <w:tcW w:w="2551"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高台县人民政府关于印发高台县创建第三批省级农产品质量安全县实施方案的通知</w:t>
            </w:r>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70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10</w:t>
            </w:r>
          </w:p>
        </w:tc>
        <w:tc>
          <w:tcPr>
            <w:tcW w:w="7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高政发〔2021〕36号</w:t>
            </w:r>
          </w:p>
        </w:tc>
        <w:tc>
          <w:tcPr>
            <w:tcW w:w="2551"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高台县人民政府关于印发《高台县制种大县（玉米）发展规划（2021-2025年）》的通知</w:t>
            </w:r>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c>
          <w:tcPr>
            <w:tcW w:w="70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11</w:t>
            </w:r>
          </w:p>
        </w:tc>
        <w:tc>
          <w:tcPr>
            <w:tcW w:w="7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高政发〔2021〕37号</w:t>
            </w:r>
          </w:p>
        </w:tc>
        <w:tc>
          <w:tcPr>
            <w:tcW w:w="2551"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高台县人民政府关于印发高台县2021年制种大县（玉米）奖励政策实施方案的通知</w:t>
            </w:r>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c>
          <w:tcPr>
            <w:tcW w:w="70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12</w:t>
            </w:r>
          </w:p>
        </w:tc>
        <w:tc>
          <w:tcPr>
            <w:tcW w:w="7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高政办发〔2021〕49号</w:t>
            </w:r>
          </w:p>
        </w:tc>
        <w:tc>
          <w:tcPr>
            <w:tcW w:w="2551"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高台县人民政府办公室关于印发高台县县属国有企业负责人薪酬管理办法（试行）的通知</w:t>
            </w:r>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c>
          <w:tcPr>
            <w:tcW w:w="70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30" w:hRule="atLeast"/>
          <w:jc w:val="center"/>
        </w:trPr>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13</w:t>
            </w:r>
          </w:p>
        </w:tc>
        <w:tc>
          <w:tcPr>
            <w:tcW w:w="7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高政办发［2021］52号</w:t>
            </w:r>
          </w:p>
        </w:tc>
        <w:tc>
          <w:tcPr>
            <w:tcW w:w="2551"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高台县人民政府办公室关于印发高台县县属国有企业负责人经营业绩考核办法（试行）的通知</w:t>
            </w:r>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c>
          <w:tcPr>
            <w:tcW w:w="70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14</w:t>
            </w:r>
          </w:p>
        </w:tc>
        <w:tc>
          <w:tcPr>
            <w:tcW w:w="7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高政发〔2021〕55号</w:t>
            </w:r>
          </w:p>
        </w:tc>
        <w:tc>
          <w:tcPr>
            <w:tcW w:w="2551"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关于印发高台县扶贫资产管理办法的通知（网发）</w:t>
            </w:r>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c>
          <w:tcPr>
            <w:tcW w:w="70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5" w:hRule="atLeast"/>
          <w:jc w:val="center"/>
        </w:trPr>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15</w:t>
            </w:r>
          </w:p>
        </w:tc>
        <w:tc>
          <w:tcPr>
            <w:tcW w:w="7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高政办发〔2021〕61号</w:t>
            </w:r>
          </w:p>
        </w:tc>
        <w:tc>
          <w:tcPr>
            <w:tcW w:w="2551"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关于印发高台县加强城区停车场（位）建设管理工作实施方案的通知</w:t>
            </w:r>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c>
          <w:tcPr>
            <w:tcW w:w="70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5" w:hRule="atLeast"/>
          <w:jc w:val="center"/>
        </w:trPr>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16</w:t>
            </w:r>
          </w:p>
        </w:tc>
        <w:tc>
          <w:tcPr>
            <w:tcW w:w="7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高政办发〔2021〕84号</w:t>
            </w:r>
          </w:p>
        </w:tc>
        <w:tc>
          <w:tcPr>
            <w:tcW w:w="2551"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高台县优化营商环境季调度年评价办法（试行）的通知</w:t>
            </w:r>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c>
          <w:tcPr>
            <w:tcW w:w="70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17</w:t>
            </w:r>
          </w:p>
        </w:tc>
        <w:tc>
          <w:tcPr>
            <w:tcW w:w="7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高政办发〔2022〕6号</w:t>
            </w:r>
          </w:p>
        </w:tc>
        <w:tc>
          <w:tcPr>
            <w:tcW w:w="2551"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高台县人民政府办公室关于印发高台县贯彻落实全省深化投资建设领域“放管服”改革持续优化营商环境若干措施工作方案的通知</w:t>
            </w:r>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c>
          <w:tcPr>
            <w:tcW w:w="70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18</w:t>
            </w:r>
          </w:p>
        </w:tc>
        <w:tc>
          <w:tcPr>
            <w:tcW w:w="7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高政办发〔2022〕10号</w:t>
            </w:r>
          </w:p>
        </w:tc>
        <w:tc>
          <w:tcPr>
            <w:tcW w:w="2551"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高台县人民政府办公室关于下达2022年农业保险计划的通知</w:t>
            </w:r>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c>
          <w:tcPr>
            <w:tcW w:w="70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19</w:t>
            </w:r>
          </w:p>
        </w:tc>
        <w:tc>
          <w:tcPr>
            <w:tcW w:w="7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高政办发〔2022〕13号</w:t>
            </w:r>
          </w:p>
        </w:tc>
        <w:tc>
          <w:tcPr>
            <w:tcW w:w="2551"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高台县人民政府办公室关于印发高台县突发事件应急处置生活物资保障工作方案的通知</w:t>
            </w:r>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c>
          <w:tcPr>
            <w:tcW w:w="70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20</w:t>
            </w:r>
          </w:p>
        </w:tc>
        <w:tc>
          <w:tcPr>
            <w:tcW w:w="7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高政办发〔2022〕25号</w:t>
            </w:r>
          </w:p>
        </w:tc>
        <w:tc>
          <w:tcPr>
            <w:tcW w:w="2551"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高台县2022年县域经济高质量发展工作计划</w:t>
            </w:r>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c>
          <w:tcPr>
            <w:tcW w:w="70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21</w:t>
            </w:r>
          </w:p>
        </w:tc>
        <w:tc>
          <w:tcPr>
            <w:tcW w:w="7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高政办发〔2022〕27号</w:t>
            </w:r>
          </w:p>
        </w:tc>
        <w:tc>
          <w:tcPr>
            <w:tcW w:w="2551"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高台县人民政府办公室关于印发高台县人民政府外聘法律顾问工作规则的通知</w:t>
            </w:r>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c>
          <w:tcPr>
            <w:tcW w:w="70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22</w:t>
            </w:r>
          </w:p>
        </w:tc>
        <w:tc>
          <w:tcPr>
            <w:tcW w:w="7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高政办发〔2022〕31号</w:t>
            </w:r>
          </w:p>
        </w:tc>
        <w:tc>
          <w:tcPr>
            <w:tcW w:w="2551"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关于印发高台县2022年深化“放管服”改革优化营商环境工作要点的通知</w:t>
            </w:r>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c>
          <w:tcPr>
            <w:tcW w:w="70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23</w:t>
            </w:r>
          </w:p>
        </w:tc>
        <w:tc>
          <w:tcPr>
            <w:tcW w:w="7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高政办发〔2022〕35号</w:t>
            </w:r>
          </w:p>
        </w:tc>
        <w:tc>
          <w:tcPr>
            <w:tcW w:w="2551"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高台县人民政府办公室关于印发高台县2022年促消费扩内需专项行动实施方案的通知（红头）</w:t>
            </w:r>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c>
          <w:tcPr>
            <w:tcW w:w="70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00" w:hRule="atLeast"/>
          <w:jc w:val="center"/>
        </w:trPr>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24</w:t>
            </w:r>
          </w:p>
        </w:tc>
        <w:tc>
          <w:tcPr>
            <w:tcW w:w="7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高政办发〔2022〕39号</w:t>
            </w:r>
          </w:p>
        </w:tc>
        <w:tc>
          <w:tcPr>
            <w:tcW w:w="2551"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关于印发高台县支持乡村产业振兴创业担保贷款工作实施方案（试行）的通知（以此件为准）</w:t>
            </w:r>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c>
          <w:tcPr>
            <w:tcW w:w="70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jc w:val="center"/>
        </w:trPr>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25</w:t>
            </w:r>
          </w:p>
        </w:tc>
        <w:tc>
          <w:tcPr>
            <w:tcW w:w="7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高政办发〔2022〕44号</w:t>
            </w:r>
          </w:p>
        </w:tc>
        <w:tc>
          <w:tcPr>
            <w:tcW w:w="2551"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关于印发全面加强药品监管能力建设促进医药产业高质量发展若干措施的通知（定稿）</w:t>
            </w:r>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c>
          <w:tcPr>
            <w:tcW w:w="70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5" w:hRule="atLeast"/>
          <w:jc w:val="center"/>
        </w:trPr>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26</w:t>
            </w:r>
          </w:p>
        </w:tc>
        <w:tc>
          <w:tcPr>
            <w:tcW w:w="7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高政发〔2022〕45号</w:t>
            </w:r>
          </w:p>
        </w:tc>
        <w:tc>
          <w:tcPr>
            <w:tcW w:w="2551"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高台县2022年制种大县奖励资金项目实施方案</w:t>
            </w:r>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c>
          <w:tcPr>
            <w:tcW w:w="70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27</w:t>
            </w:r>
          </w:p>
        </w:tc>
        <w:tc>
          <w:tcPr>
            <w:tcW w:w="7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高政办发（2022）54号</w:t>
            </w:r>
          </w:p>
        </w:tc>
        <w:tc>
          <w:tcPr>
            <w:tcW w:w="2551"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关于建立贯彻落实稳住经济一揽子政策措施考核调度工作机制的通知</w:t>
            </w:r>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c>
          <w:tcPr>
            <w:tcW w:w="70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 w:hRule="atLeast"/>
          <w:jc w:val="center"/>
        </w:trPr>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28</w:t>
            </w:r>
          </w:p>
        </w:tc>
        <w:tc>
          <w:tcPr>
            <w:tcW w:w="7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高政发（2022）70号</w:t>
            </w:r>
          </w:p>
        </w:tc>
        <w:tc>
          <w:tcPr>
            <w:tcW w:w="2551"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关于印发高台县高标准农田建设规划（2021-2030年）的通知</w:t>
            </w:r>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c>
          <w:tcPr>
            <w:tcW w:w="70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29</w:t>
            </w:r>
          </w:p>
        </w:tc>
        <w:tc>
          <w:tcPr>
            <w:tcW w:w="7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高政办发（2022）85号</w:t>
            </w:r>
          </w:p>
        </w:tc>
        <w:tc>
          <w:tcPr>
            <w:tcW w:w="2551"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高台县农村饮用水供水工程维修基金管理办法</w:t>
            </w:r>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c>
          <w:tcPr>
            <w:tcW w:w="70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30</w:t>
            </w:r>
          </w:p>
        </w:tc>
        <w:tc>
          <w:tcPr>
            <w:tcW w:w="7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高政办发〔2022〕94号</w:t>
            </w:r>
          </w:p>
        </w:tc>
        <w:tc>
          <w:tcPr>
            <w:tcW w:w="2551"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关于印发高台县重点项目前期费管理办法（试行）的通知</w:t>
            </w:r>
          </w:p>
        </w:tc>
        <w:tc>
          <w:tcPr>
            <w:tcW w:w="6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c>
          <w:tcPr>
            <w:tcW w:w="70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bl>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suppressLineNumbers w:val="0"/>
        <w:kinsoku/>
        <w:wordWrap/>
        <w:overflowPunct/>
        <w:topLinePunct/>
        <w:autoSpaceDE/>
        <w:autoSpaceDN/>
        <w:bidi w:val="0"/>
        <w:snapToGrid/>
        <w:spacing w:before="157" w:beforeLines="50" w:beforeAutospacing="0" w:after="157" w:afterLines="50" w:afterAutospacing="0" w:line="540" w:lineRule="exact"/>
        <w:ind w:left="0" w:leftChars="0" w:right="0" w:rightChars="0" w:firstLine="640" w:firstLineChars="200"/>
        <w:jc w:val="both"/>
        <w:outlineLvl w:val="9"/>
        <w:rPr>
          <w:rFonts w:hint="eastAsia" w:ascii="黑体" w:hAnsi="黑体" w:eastAsia="黑体" w:cs="黑体"/>
          <w:b w:val="0"/>
          <w:bCs/>
          <w:color w:val="auto"/>
          <w:spacing w:val="0"/>
          <w:kern w:val="2"/>
          <w:position w:val="0"/>
          <w:sz w:val="32"/>
          <w:szCs w:val="32"/>
          <w:lang w:val="en-US" w:eastAsia="zh-CN" w:bidi="ar"/>
        </w:rPr>
      </w:pPr>
    </w:p>
    <w:p>
      <w:pPr>
        <w:pStyle w:val="2"/>
        <w:rPr>
          <w:rFonts w:hint="eastAsia" w:ascii="黑体" w:hAnsi="黑体" w:eastAsia="黑体" w:cs="黑体"/>
          <w:b w:val="0"/>
          <w:bCs/>
          <w:color w:val="auto"/>
          <w:spacing w:val="0"/>
          <w:kern w:val="2"/>
          <w:position w:val="0"/>
          <w:sz w:val="32"/>
          <w:szCs w:val="32"/>
          <w:lang w:val="en-US" w:eastAsia="zh-CN" w:bidi="ar"/>
        </w:rPr>
      </w:pPr>
    </w:p>
    <w:p>
      <w:pPr>
        <w:rPr>
          <w:rFonts w:hint="eastAsia" w:ascii="黑体" w:hAnsi="黑体" w:eastAsia="黑体" w:cs="黑体"/>
          <w:b w:val="0"/>
          <w:bCs/>
          <w:color w:val="auto"/>
          <w:spacing w:val="0"/>
          <w:kern w:val="2"/>
          <w:position w:val="0"/>
          <w:sz w:val="32"/>
          <w:szCs w:val="32"/>
          <w:lang w:val="en-US" w:eastAsia="zh-CN" w:bidi="ar"/>
        </w:rPr>
      </w:pPr>
    </w:p>
    <w:p>
      <w:pPr>
        <w:pStyle w:val="2"/>
        <w:rPr>
          <w:rFonts w:hint="eastAsia" w:ascii="黑体" w:hAnsi="黑体" w:eastAsia="黑体" w:cs="黑体"/>
          <w:b w:val="0"/>
          <w:bCs/>
          <w:color w:val="auto"/>
          <w:spacing w:val="0"/>
          <w:kern w:val="2"/>
          <w:position w:val="0"/>
          <w:sz w:val="32"/>
          <w:szCs w:val="32"/>
          <w:lang w:val="en-US" w:eastAsia="zh-CN" w:bidi="ar"/>
        </w:rPr>
      </w:pPr>
    </w:p>
    <w:p>
      <w:pPr>
        <w:rPr>
          <w:rFonts w:hint="eastAsia" w:ascii="黑体" w:hAnsi="黑体" w:eastAsia="黑体" w:cs="黑体"/>
          <w:b w:val="0"/>
          <w:bCs/>
          <w:color w:val="auto"/>
          <w:spacing w:val="0"/>
          <w:kern w:val="2"/>
          <w:position w:val="0"/>
          <w:sz w:val="32"/>
          <w:szCs w:val="32"/>
          <w:lang w:val="en-US" w:eastAsia="zh-CN" w:bidi="ar"/>
        </w:rPr>
      </w:pPr>
    </w:p>
    <w:p>
      <w:pPr>
        <w:pStyle w:val="2"/>
        <w:rPr>
          <w:rFonts w:hint="eastAsia" w:ascii="黑体" w:hAnsi="黑体" w:eastAsia="黑体" w:cs="黑体"/>
          <w:b w:val="0"/>
          <w:bCs/>
          <w:color w:val="auto"/>
          <w:spacing w:val="0"/>
          <w:kern w:val="2"/>
          <w:position w:val="0"/>
          <w:sz w:val="32"/>
          <w:szCs w:val="32"/>
          <w:lang w:val="en-US" w:eastAsia="zh-CN" w:bidi="ar"/>
        </w:rPr>
      </w:pPr>
    </w:p>
    <w:p>
      <w:pPr>
        <w:rPr>
          <w:rFonts w:hint="eastAsia" w:ascii="黑体" w:hAnsi="黑体" w:eastAsia="黑体" w:cs="黑体"/>
          <w:b w:val="0"/>
          <w:bCs/>
          <w:color w:val="auto"/>
          <w:spacing w:val="0"/>
          <w:kern w:val="2"/>
          <w:position w:val="0"/>
          <w:sz w:val="32"/>
          <w:szCs w:val="32"/>
          <w:lang w:val="en-US" w:eastAsia="zh-CN" w:bidi="ar"/>
        </w:rPr>
      </w:pPr>
    </w:p>
    <w:p>
      <w:pPr>
        <w:pStyle w:val="2"/>
        <w:rPr>
          <w:rFonts w:hint="eastAsia" w:ascii="黑体" w:hAnsi="黑体" w:eastAsia="黑体" w:cs="黑体"/>
          <w:b w:val="0"/>
          <w:bCs/>
          <w:color w:val="auto"/>
          <w:spacing w:val="0"/>
          <w:kern w:val="2"/>
          <w:position w:val="0"/>
          <w:sz w:val="32"/>
          <w:szCs w:val="32"/>
          <w:lang w:val="en-US" w:eastAsia="zh-CN" w:bidi="ar"/>
        </w:rPr>
      </w:pPr>
    </w:p>
    <w:p>
      <w:pPr>
        <w:keepNext w:val="0"/>
        <w:keepLines w:val="0"/>
        <w:pageBreakBefore w:val="0"/>
        <w:widowControl/>
        <w:suppressLineNumbers w:val="0"/>
        <w:kinsoku/>
        <w:wordWrap/>
        <w:overflowPunct/>
        <w:topLinePunct/>
        <w:autoSpaceDE/>
        <w:autoSpaceDN/>
        <w:bidi w:val="0"/>
        <w:snapToGrid/>
        <w:spacing w:before="157" w:beforeLines="50" w:beforeAutospacing="0" w:after="157" w:afterLines="50" w:afterAutospacing="0" w:line="540" w:lineRule="exact"/>
        <w:ind w:right="0" w:rightChars="0"/>
        <w:jc w:val="both"/>
        <w:outlineLvl w:val="0"/>
        <w:rPr>
          <w:rFonts w:hint="eastAsia" w:ascii="黑体" w:hAnsi="黑体" w:eastAsia="黑体" w:cs="黑体"/>
          <w:b w:val="0"/>
          <w:bCs/>
          <w:color w:val="auto"/>
          <w:spacing w:val="0"/>
          <w:kern w:val="2"/>
          <w:position w:val="0"/>
          <w:sz w:val="32"/>
          <w:szCs w:val="32"/>
          <w:lang w:val="en-US" w:eastAsia="zh-CN" w:bidi="ar"/>
        </w:rPr>
      </w:pPr>
      <w:bookmarkStart w:id="32" w:name="_Toc9397"/>
      <w:r>
        <w:rPr>
          <w:rFonts w:hint="eastAsia" w:ascii="黑体" w:hAnsi="黑体" w:eastAsia="黑体" w:cs="黑体"/>
          <w:b w:val="0"/>
          <w:bCs/>
          <w:color w:val="auto"/>
          <w:spacing w:val="0"/>
          <w:kern w:val="2"/>
          <w:position w:val="0"/>
          <w:sz w:val="32"/>
          <w:szCs w:val="32"/>
          <w:lang w:val="en-US" w:eastAsia="zh-CN" w:bidi="ar"/>
        </w:rPr>
        <w:t>附件二：</w:t>
      </w:r>
      <w:bookmarkEnd w:id="32"/>
      <w:r>
        <w:rPr>
          <w:rFonts w:hint="eastAsia" w:ascii="黑体" w:hAnsi="黑体" w:eastAsia="黑体" w:cs="黑体"/>
          <w:b w:val="0"/>
          <w:bCs/>
          <w:color w:val="auto"/>
          <w:spacing w:val="0"/>
          <w:kern w:val="2"/>
          <w:position w:val="0"/>
          <w:sz w:val="32"/>
          <w:szCs w:val="32"/>
          <w:lang w:val="en-US" w:eastAsia="zh-CN" w:bidi="ar"/>
        </w:rPr>
        <w:t>高台县政策措施评估表</w:t>
      </w:r>
    </w:p>
    <w:p>
      <w:pPr>
        <w:keepNext w:val="0"/>
        <w:keepLines w:val="0"/>
        <w:widowControl w:val="0"/>
        <w:suppressLineNumbers w:val="0"/>
        <w:snapToGrid/>
        <w:spacing w:beforeAutospacing="0" w:afterAutospacing="0" w:line="360" w:lineRule="auto"/>
        <w:ind w:left="0" w:leftChars="0" w:right="0" w:firstLine="0"/>
        <w:jc w:val="center"/>
        <w:outlineLvl w:val="0"/>
        <w:rPr>
          <w:rFonts w:hint="eastAsia" w:ascii="仿宋_GB2312" w:hAnsi="仿宋_GB2312" w:eastAsia="仿宋_GB2312" w:cs="仿宋_GB2312"/>
          <w:b w:val="0"/>
          <w:bCs/>
          <w:color w:val="auto"/>
          <w:spacing w:val="0"/>
          <w:kern w:val="2"/>
          <w:position w:val="0"/>
          <w:sz w:val="28"/>
          <w:szCs w:val="30"/>
          <w:lang w:val="en-US" w:eastAsia="zh-CN" w:bidi="ar"/>
        </w:rPr>
      </w:pPr>
      <w:bookmarkStart w:id="33" w:name="_Toc8919"/>
      <w:r>
        <w:rPr>
          <w:rFonts w:hint="eastAsia" w:ascii="仿宋_GB2312" w:hAnsi="仿宋_GB2312" w:eastAsia="仿宋_GB2312" w:cs="仿宋_GB2312"/>
          <w:b w:val="0"/>
          <w:bCs/>
          <w:color w:val="auto"/>
          <w:spacing w:val="0"/>
          <w:kern w:val="2"/>
          <w:position w:val="0"/>
          <w:sz w:val="28"/>
          <w:szCs w:val="30"/>
          <w:lang w:val="en-US" w:eastAsia="zh-CN" w:bidi="ar"/>
        </w:rPr>
        <w:t>公平竞争第三方审查表</w:t>
      </w:r>
      <w:bookmarkEnd w:id="33"/>
    </w:p>
    <w:tbl>
      <w:tblPr>
        <w:tblStyle w:val="13"/>
        <w:tblW w:w="895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090"/>
        <w:gridCol w:w="173"/>
        <w:gridCol w:w="1602"/>
        <w:gridCol w:w="4875"/>
        <w:gridCol w:w="121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63"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696"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《高台县农业保险助推乡村振兴工作实施方案》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63"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696"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高政办发[2021]10号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65"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094"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65"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1、是否履行征求意见程序</w:t>
            </w:r>
          </w:p>
        </w:tc>
        <w:tc>
          <w:tcPr>
            <w:tcW w:w="6094"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65"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2、是否形成书面审查结论</w:t>
            </w:r>
          </w:p>
        </w:tc>
        <w:tc>
          <w:tcPr>
            <w:tcW w:w="6094"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895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2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2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2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2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2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2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2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2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2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2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2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2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2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2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2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2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2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2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2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2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2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2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2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2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2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2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2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2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21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83" w:hRule="exact"/>
        </w:trPr>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869"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未形成书面审查结论未履行征求意见程序。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反公平竞争审查标准十五，不得强制经营者从事《中华人民共和国反垄断法》禁止的垄断行为，主要指以行政命令、行政授权、行政指导等方式或者通过行业协会商会，强制、组织或者引导经营者达成垄断协议、滥用市场支配地位，以及实施具有或者可能具有排除、限制竞争效果的经营者集中等行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bl>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widowControl w:val="0"/>
        <w:suppressLineNumbers w:val="0"/>
        <w:snapToGrid/>
        <w:spacing w:beforeAutospacing="0" w:afterAutospacing="0" w:line="360" w:lineRule="auto"/>
        <w:ind w:left="0" w:leftChars="0" w:right="0" w:firstLine="0"/>
        <w:jc w:val="center"/>
        <w:outlineLvl w:val="0"/>
        <w:rPr>
          <w:rFonts w:hint="eastAsia" w:ascii="仿宋_GB2312" w:hAnsi="仿宋_GB2312" w:eastAsia="仿宋_GB2312" w:cs="仿宋_GB2312"/>
          <w:lang w:val="en-US" w:eastAsia="zh-CN"/>
        </w:rPr>
      </w:pPr>
      <w:bookmarkStart w:id="34" w:name="_Toc1980"/>
      <w:r>
        <w:rPr>
          <w:rFonts w:hint="eastAsia" w:ascii="仿宋_GB2312" w:hAnsi="仿宋_GB2312" w:eastAsia="仿宋_GB2312" w:cs="仿宋_GB2312"/>
          <w:b w:val="0"/>
          <w:bCs/>
          <w:color w:val="auto"/>
          <w:spacing w:val="0"/>
          <w:kern w:val="2"/>
          <w:position w:val="0"/>
          <w:sz w:val="28"/>
          <w:szCs w:val="30"/>
          <w:lang w:val="en-US" w:eastAsia="zh-CN" w:bidi="ar"/>
        </w:rPr>
        <w:t>公平竞争第三方审查表</w:t>
      </w:r>
      <w:bookmarkEnd w:id="34"/>
    </w:p>
    <w:tbl>
      <w:tblPr>
        <w:tblStyle w:val="1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832"/>
        <w:gridCol w:w="13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7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《关于分解落实2021年全县经济社会发展主要指标和重点工作任务的通知》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高政发[2021]12号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1、是否形成书面审查结论</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91"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不涉及市场主体经济活动，不属于公平竞争审查范围。</w:t>
            </w:r>
          </w:p>
        </w:tc>
      </w:tr>
    </w:tbl>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keepNext w:val="0"/>
        <w:keepLines w:val="0"/>
        <w:widowControl w:val="0"/>
        <w:suppressLineNumbers w:val="0"/>
        <w:snapToGrid/>
        <w:spacing w:beforeAutospacing="0" w:afterAutospacing="0" w:line="360" w:lineRule="auto"/>
        <w:ind w:left="0" w:leftChars="0" w:right="0" w:firstLine="0"/>
        <w:jc w:val="center"/>
        <w:outlineLvl w:val="0"/>
        <w:rPr>
          <w:rFonts w:hint="eastAsia" w:ascii="仿宋_GB2312" w:hAnsi="仿宋_GB2312" w:eastAsia="仿宋_GB2312" w:cs="仿宋_GB2312"/>
          <w:b w:val="0"/>
          <w:bCs/>
          <w:color w:val="auto"/>
          <w:spacing w:val="0"/>
          <w:kern w:val="2"/>
          <w:position w:val="0"/>
          <w:sz w:val="28"/>
          <w:szCs w:val="30"/>
          <w:lang w:val="en-US" w:eastAsia="zh-CN" w:bidi="ar"/>
        </w:rPr>
      </w:pPr>
      <w:bookmarkStart w:id="35" w:name="_Toc5343"/>
      <w:r>
        <w:rPr>
          <w:rFonts w:hint="eastAsia" w:ascii="仿宋_GB2312" w:hAnsi="仿宋_GB2312" w:eastAsia="仿宋_GB2312" w:cs="仿宋_GB2312"/>
          <w:b w:val="0"/>
          <w:bCs/>
          <w:color w:val="auto"/>
          <w:spacing w:val="0"/>
          <w:kern w:val="2"/>
          <w:position w:val="0"/>
          <w:sz w:val="28"/>
          <w:szCs w:val="30"/>
          <w:lang w:val="en-US" w:eastAsia="zh-CN" w:bidi="ar"/>
        </w:rPr>
        <w:t>公平竞争第三方审查表</w:t>
      </w:r>
      <w:bookmarkEnd w:id="35"/>
    </w:p>
    <w:tbl>
      <w:tblPr>
        <w:tblStyle w:val="13"/>
        <w:tblW w:w="904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930"/>
        <w:gridCol w:w="12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7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高台县人民政府办公室关于印发高台县县级储备粮管理办法等3个办法的通知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高政办发【2021】18号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1、是否形成书面审查结论</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24"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违反公平竞争审查标准一&lt;不得设置不合理或歧视性的准入和退出条件&gt;，没有法律、行政法规或者国务院规定依据，对不同所有制、地区、组织形式的经营者实施不合理的差别化待遇，设置不平等的市场准入和退出条件。</w:t>
            </w:r>
          </w:p>
        </w:tc>
      </w:tr>
    </w:tbl>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keepNext w:val="0"/>
        <w:keepLines w:val="0"/>
        <w:widowControl w:val="0"/>
        <w:suppressLineNumbers w:val="0"/>
        <w:snapToGrid/>
        <w:spacing w:beforeAutospacing="0" w:afterAutospacing="0" w:line="360" w:lineRule="auto"/>
        <w:ind w:left="0" w:leftChars="0" w:right="0" w:firstLine="0"/>
        <w:jc w:val="center"/>
        <w:outlineLvl w:val="0"/>
        <w:rPr>
          <w:rFonts w:hint="eastAsia" w:ascii="仿宋_GB2312" w:hAnsi="仿宋_GB2312" w:eastAsia="仿宋_GB2312" w:cs="仿宋_GB2312"/>
          <w:color w:val="auto"/>
          <w:lang w:val="en-US" w:eastAsia="zh-CN"/>
        </w:rPr>
      </w:pPr>
      <w:bookmarkStart w:id="36" w:name="_Toc27894"/>
      <w:r>
        <w:rPr>
          <w:rFonts w:hint="eastAsia" w:ascii="仿宋_GB2312" w:hAnsi="仿宋_GB2312" w:eastAsia="仿宋_GB2312" w:cs="仿宋_GB2312"/>
          <w:b w:val="0"/>
          <w:bCs/>
          <w:color w:val="auto"/>
          <w:spacing w:val="0"/>
          <w:kern w:val="2"/>
          <w:position w:val="0"/>
          <w:sz w:val="28"/>
          <w:szCs w:val="30"/>
          <w:lang w:val="en-US" w:eastAsia="zh-CN" w:bidi="ar"/>
        </w:rPr>
        <w:t>公平竞争第三方审查表</w:t>
      </w:r>
      <w:bookmarkEnd w:id="36"/>
    </w:p>
    <w:tbl>
      <w:tblPr>
        <w:tblStyle w:val="1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995"/>
        <w:gridCol w:w="11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《高台县2021年度国有建设用地供应计划》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高政发[2021]19号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1、是否形成书面审查结论</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73"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74"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不涉及市场主体经济活动，不属于公平竞争审查范围。</w:t>
            </w:r>
          </w:p>
        </w:tc>
      </w:tr>
    </w:tbl>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color w:val="auto"/>
          <w:lang w:val="en-US" w:eastAsia="zh-CN"/>
        </w:rPr>
      </w:pPr>
    </w:p>
    <w:p>
      <w:pPr>
        <w:keepNext w:val="0"/>
        <w:keepLines w:val="0"/>
        <w:widowControl w:val="0"/>
        <w:suppressLineNumbers w:val="0"/>
        <w:snapToGrid/>
        <w:spacing w:beforeAutospacing="0" w:afterAutospacing="0" w:line="360" w:lineRule="auto"/>
        <w:ind w:left="0" w:leftChars="0" w:right="0" w:firstLine="0"/>
        <w:jc w:val="center"/>
        <w:outlineLvl w:val="0"/>
        <w:rPr>
          <w:rFonts w:hint="eastAsia" w:ascii="仿宋_GB2312" w:hAnsi="仿宋_GB2312" w:eastAsia="仿宋_GB2312" w:cs="仿宋_GB2312"/>
          <w:b w:val="0"/>
          <w:bCs/>
          <w:color w:val="auto"/>
          <w:spacing w:val="0"/>
          <w:position w:val="0"/>
          <w:sz w:val="24"/>
          <w:szCs w:val="24"/>
          <w:lang w:val="en-US" w:eastAsia="zh-CN"/>
        </w:rPr>
      </w:pPr>
      <w:bookmarkStart w:id="37" w:name="_Toc3424"/>
      <w:r>
        <w:rPr>
          <w:rFonts w:hint="eastAsia" w:ascii="仿宋_GB2312" w:hAnsi="仿宋_GB2312" w:eastAsia="仿宋_GB2312" w:cs="仿宋_GB2312"/>
          <w:b w:val="0"/>
          <w:bCs/>
          <w:color w:val="auto"/>
          <w:spacing w:val="0"/>
          <w:kern w:val="2"/>
          <w:position w:val="0"/>
          <w:sz w:val="28"/>
          <w:szCs w:val="30"/>
          <w:lang w:val="en-US" w:eastAsia="zh-CN" w:bidi="ar"/>
        </w:rPr>
        <w:t>公平竞争第三方审查表</w:t>
      </w:r>
      <w:bookmarkEnd w:id="37"/>
    </w:p>
    <w:tbl>
      <w:tblPr>
        <w:tblStyle w:val="1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5011"/>
        <w:gridCol w:w="11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《高台县乡村振兴产业兴旺发展规划（2021-2025年）》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高政发[2021]25号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1、是否形成书面审查结论</w:t>
            </w:r>
          </w:p>
        </w:tc>
        <w:tc>
          <w:tcPr>
            <w:tcW w:w="61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74"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90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4"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未形成书面审查结论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未履行征求意见程序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违反《实施细则》第十五条（一）不得违法给予特定经营者优惠政策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从“特定经营者”界定，文件直接规定具体的受惠企业；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从“优惠政策类型”界定，文件概况性表述为“依托、转型升级”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解读: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2018年6-10月，市场监管总局会同有关部门在新疆、辽宁、广东、广西和黑龙江5省区开展公平竞争审查重点督查，并形成《通告》，发现的30份问题文件中有15份违反了禁止违法优惠政策的标准。在15起典型案例中，有9起只是概括性表述给予优惠政策，并未明确具体的类型，仍然被认定为给予优惠政策。因为，政策措施制定机关为人民政府而非政府部门，虽然政策类型名为规划和方案，均可以再细化和落实为具体的优惠政策。而且，如果政策文件笼统表述为给予优惠政策，反而可能给执行者更多”自由裁量”的空间。</w:t>
            </w:r>
          </w:p>
        </w:tc>
      </w:tr>
    </w:tbl>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widowControl w:val="0"/>
        <w:suppressLineNumbers w:val="0"/>
        <w:snapToGrid/>
        <w:spacing w:beforeAutospacing="0" w:afterAutospacing="0" w:line="360" w:lineRule="auto"/>
        <w:ind w:left="0" w:leftChars="0" w:right="0" w:firstLine="0"/>
        <w:jc w:val="center"/>
        <w:outlineLvl w:val="0"/>
        <w:rPr>
          <w:rFonts w:hint="eastAsia" w:ascii="仿宋_GB2312" w:hAnsi="仿宋_GB2312" w:eastAsia="仿宋_GB2312" w:cs="仿宋_GB2312"/>
          <w:b w:val="0"/>
          <w:bCs/>
          <w:color w:val="auto"/>
          <w:spacing w:val="0"/>
          <w:position w:val="0"/>
          <w:sz w:val="24"/>
          <w:szCs w:val="24"/>
          <w:lang w:val="en-US" w:eastAsia="zh-CN"/>
        </w:rPr>
      </w:pPr>
      <w:bookmarkStart w:id="38" w:name="_Toc31875"/>
      <w:r>
        <w:rPr>
          <w:rFonts w:hint="eastAsia" w:ascii="仿宋_GB2312" w:hAnsi="仿宋_GB2312" w:eastAsia="仿宋_GB2312" w:cs="仿宋_GB2312"/>
          <w:b w:val="0"/>
          <w:bCs/>
          <w:color w:val="auto"/>
          <w:spacing w:val="0"/>
          <w:kern w:val="2"/>
          <w:position w:val="0"/>
          <w:sz w:val="28"/>
          <w:szCs w:val="30"/>
          <w:lang w:val="en-US" w:eastAsia="zh-CN" w:bidi="ar"/>
        </w:rPr>
        <w:t>公平竞争第三方审查表</w:t>
      </w:r>
      <w:bookmarkEnd w:id="38"/>
    </w:p>
    <w:tbl>
      <w:tblPr>
        <w:tblStyle w:val="1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979"/>
        <w:gridCol w:w="11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34"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《高台县国民经济和社会发展第十四个五年规划和二〇三五年远景目标纲要》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高政发[2021]26号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1、是否形成书面审查结论</w:t>
            </w:r>
          </w:p>
        </w:tc>
        <w:tc>
          <w:tcPr>
            <w:tcW w:w="61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1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0"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违反《实施细则》第十五条（一）不得违法给予特定经营者优惠政策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从“特定经营者”界定，文件直接规定具体的受惠企业；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从“优惠政策类型”界定，文件概况性表述为“依托、转型升级”</w:t>
            </w:r>
          </w:p>
        </w:tc>
      </w:tr>
    </w:tbl>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color w:val="auto"/>
          <w:lang w:val="en-US" w:eastAsia="zh-CN"/>
        </w:rPr>
      </w:pPr>
    </w:p>
    <w:p>
      <w:pPr>
        <w:keepNext w:val="0"/>
        <w:keepLines w:val="0"/>
        <w:widowControl w:val="0"/>
        <w:suppressLineNumbers w:val="0"/>
        <w:snapToGrid/>
        <w:spacing w:beforeAutospacing="0" w:afterAutospacing="0" w:line="360" w:lineRule="auto"/>
        <w:ind w:left="0" w:leftChars="0" w:right="0" w:firstLine="0"/>
        <w:jc w:val="center"/>
        <w:outlineLvl w:val="0"/>
        <w:rPr>
          <w:rFonts w:hint="eastAsia" w:ascii="仿宋_GB2312" w:hAnsi="仿宋_GB2312" w:eastAsia="仿宋_GB2312" w:cs="仿宋_GB2312"/>
          <w:b w:val="0"/>
          <w:bCs/>
          <w:color w:val="auto"/>
          <w:spacing w:val="0"/>
          <w:position w:val="0"/>
          <w:sz w:val="24"/>
          <w:szCs w:val="24"/>
          <w:lang w:val="en-US" w:eastAsia="zh-CN"/>
        </w:rPr>
      </w:pPr>
      <w:bookmarkStart w:id="39" w:name="_Toc7849"/>
      <w:r>
        <w:rPr>
          <w:rFonts w:hint="eastAsia" w:ascii="仿宋_GB2312" w:hAnsi="仿宋_GB2312" w:eastAsia="仿宋_GB2312" w:cs="仿宋_GB2312"/>
          <w:b w:val="0"/>
          <w:bCs/>
          <w:color w:val="auto"/>
          <w:spacing w:val="0"/>
          <w:kern w:val="2"/>
          <w:position w:val="0"/>
          <w:sz w:val="28"/>
          <w:szCs w:val="30"/>
          <w:lang w:val="en-US" w:eastAsia="zh-CN" w:bidi="ar"/>
        </w:rPr>
        <w:t>公平竞争第三方审查表</w:t>
      </w:r>
      <w:bookmarkEnd w:id="39"/>
    </w:p>
    <w:tbl>
      <w:tblPr>
        <w:tblStyle w:val="1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979"/>
        <w:gridCol w:w="11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51"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《高台县人民政府办公室关于进一步加强政府投资目资金管理有关事项的通知》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高政办发[2021]27号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1、是否形成书面审查结论</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67"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内部工作管理办法，不涉及市场主体经济活动。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bl>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color w:val="auto"/>
          <w:lang w:val="en-US" w:eastAsia="zh-CN"/>
        </w:rPr>
      </w:pPr>
    </w:p>
    <w:p>
      <w:pPr>
        <w:keepNext w:val="0"/>
        <w:keepLines w:val="0"/>
        <w:widowControl w:val="0"/>
        <w:suppressLineNumbers w:val="0"/>
        <w:snapToGrid/>
        <w:spacing w:beforeAutospacing="0" w:afterAutospacing="0" w:line="360" w:lineRule="auto"/>
        <w:ind w:left="0" w:leftChars="0" w:right="0" w:firstLine="0"/>
        <w:jc w:val="center"/>
        <w:outlineLvl w:val="0"/>
        <w:rPr>
          <w:rFonts w:hint="eastAsia" w:ascii="仿宋_GB2312" w:hAnsi="仿宋_GB2312" w:eastAsia="仿宋_GB2312" w:cs="仿宋_GB2312"/>
          <w:b w:val="0"/>
          <w:bCs/>
          <w:color w:val="auto"/>
          <w:spacing w:val="0"/>
          <w:kern w:val="2"/>
          <w:position w:val="0"/>
          <w:sz w:val="28"/>
          <w:szCs w:val="30"/>
          <w:lang w:val="en-US" w:eastAsia="zh-CN" w:bidi="ar"/>
        </w:rPr>
      </w:pPr>
      <w:bookmarkStart w:id="40" w:name="_Toc1913"/>
      <w:r>
        <w:rPr>
          <w:rFonts w:hint="eastAsia" w:ascii="仿宋_GB2312" w:hAnsi="仿宋_GB2312" w:eastAsia="仿宋_GB2312" w:cs="仿宋_GB2312"/>
          <w:b w:val="0"/>
          <w:bCs/>
          <w:color w:val="auto"/>
          <w:spacing w:val="0"/>
          <w:kern w:val="2"/>
          <w:position w:val="0"/>
          <w:sz w:val="28"/>
          <w:szCs w:val="30"/>
          <w:lang w:val="en-US" w:eastAsia="zh-CN" w:bidi="ar"/>
        </w:rPr>
        <w:t>公平竞争第三方审查表</w:t>
      </w:r>
      <w:bookmarkEnd w:id="40"/>
    </w:p>
    <w:tbl>
      <w:tblPr>
        <w:tblStyle w:val="1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930"/>
        <w:gridCol w:w="12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《关于进一步强化乡村振兴金融支持措施的通知》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高政办发[2021]33号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1、是否形成书面审查结论</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2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22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55"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不违反公平竞争审查标准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bl>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color w:val="auto"/>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widowControl w:val="0"/>
        <w:suppressLineNumbers w:val="0"/>
        <w:snapToGrid/>
        <w:spacing w:beforeAutospacing="0" w:afterAutospacing="0" w:line="360" w:lineRule="auto"/>
        <w:ind w:left="0" w:leftChars="0" w:right="0" w:firstLine="0"/>
        <w:jc w:val="center"/>
        <w:outlineLvl w:val="0"/>
        <w:rPr>
          <w:rFonts w:hint="eastAsia" w:ascii="仿宋_GB2312" w:hAnsi="仿宋_GB2312" w:eastAsia="仿宋_GB2312" w:cs="仿宋_GB2312"/>
          <w:b w:val="0"/>
          <w:bCs/>
          <w:color w:val="auto"/>
          <w:spacing w:val="0"/>
          <w:position w:val="0"/>
          <w:sz w:val="24"/>
          <w:szCs w:val="24"/>
          <w:lang w:val="en-US" w:eastAsia="zh-CN"/>
        </w:rPr>
      </w:pPr>
      <w:bookmarkStart w:id="41" w:name="_Toc17773"/>
      <w:r>
        <w:rPr>
          <w:rFonts w:hint="eastAsia" w:ascii="仿宋_GB2312" w:hAnsi="仿宋_GB2312" w:eastAsia="仿宋_GB2312" w:cs="仿宋_GB2312"/>
          <w:b w:val="0"/>
          <w:bCs/>
          <w:color w:val="auto"/>
          <w:spacing w:val="0"/>
          <w:kern w:val="2"/>
          <w:position w:val="0"/>
          <w:sz w:val="28"/>
          <w:szCs w:val="30"/>
          <w:lang w:val="en-US" w:eastAsia="zh-CN" w:bidi="ar"/>
        </w:rPr>
        <w:t>公平竞争第三方审查表</w:t>
      </w:r>
      <w:bookmarkEnd w:id="41"/>
    </w:p>
    <w:tbl>
      <w:tblPr>
        <w:tblStyle w:val="1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5028"/>
        <w:gridCol w:w="112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《高台县创建省级第三批农产品质量安全县实施方案》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高政发[2021]35号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1、是否形成书面审查结论</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1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1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1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1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1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1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1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1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1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1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1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1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1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1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1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1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1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1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9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1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9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1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9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1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9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1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9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1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9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1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9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1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9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1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9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1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9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1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9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1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60"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numPr>
                <w:ilvl w:val="0"/>
                <w:numId w:val="2"/>
              </w:numPr>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未履行征求意见程序</w:t>
            </w:r>
          </w:p>
          <w:p>
            <w:pPr>
              <w:keepNext w:val="0"/>
              <w:keepLines w:val="0"/>
              <w:pageBreakBefore w:val="0"/>
              <w:widowControl w:val="0"/>
              <w:numPr>
                <w:ilvl w:val="0"/>
                <w:numId w:val="2"/>
              </w:numPr>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未形成书面审查结论。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bl>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color w:val="auto"/>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keepNext w:val="0"/>
        <w:keepLines w:val="0"/>
        <w:widowControl w:val="0"/>
        <w:suppressLineNumbers w:val="0"/>
        <w:snapToGrid/>
        <w:spacing w:beforeAutospacing="0" w:afterAutospacing="0" w:line="360" w:lineRule="auto"/>
        <w:ind w:left="0" w:leftChars="0" w:right="0" w:firstLine="0"/>
        <w:jc w:val="center"/>
        <w:outlineLvl w:val="0"/>
        <w:rPr>
          <w:rFonts w:hint="eastAsia" w:ascii="仿宋_GB2312" w:hAnsi="仿宋_GB2312" w:eastAsia="仿宋_GB2312" w:cs="仿宋_GB2312"/>
          <w:b w:val="0"/>
          <w:bCs/>
          <w:color w:val="auto"/>
          <w:spacing w:val="0"/>
          <w:position w:val="0"/>
          <w:sz w:val="24"/>
          <w:szCs w:val="24"/>
          <w:lang w:val="en-US" w:eastAsia="zh-CN"/>
        </w:rPr>
      </w:pPr>
      <w:bookmarkStart w:id="42" w:name="_Toc12244"/>
      <w:r>
        <w:rPr>
          <w:rFonts w:hint="eastAsia" w:ascii="仿宋_GB2312" w:hAnsi="仿宋_GB2312" w:eastAsia="仿宋_GB2312" w:cs="仿宋_GB2312"/>
          <w:b w:val="0"/>
          <w:bCs/>
          <w:color w:val="auto"/>
          <w:spacing w:val="0"/>
          <w:kern w:val="2"/>
          <w:position w:val="0"/>
          <w:sz w:val="28"/>
          <w:szCs w:val="30"/>
          <w:lang w:val="en-US" w:eastAsia="zh-CN" w:bidi="ar"/>
        </w:rPr>
        <w:t>公平竞争第三方审查表</w:t>
      </w:r>
      <w:bookmarkEnd w:id="42"/>
    </w:p>
    <w:tbl>
      <w:tblPr>
        <w:tblStyle w:val="1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848"/>
        <w:gridCol w:w="13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《高台县制种大县（玉米）发展规划（2021—2025年）》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高政发[2021]36号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30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30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30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30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73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30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30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30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30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30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30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30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30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30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30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30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30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30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30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30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30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30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30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30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30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30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30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30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30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30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80"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一、违反审查标准第十一：不得违法给予特定经营者优惠政策，包括但不限于：1、没有法律法规依据或者国务院规定，给予特定经营者财政奖励和补贴。</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违反审查标准六：不得对外地和进口商品、服务实行歧视性价格和歧视性补贴政策，包括但不限于：2、对相关商品、服务补贴时，对外地同类商品、服务、国际经贸协定允许外的进口同类商品以及我国作出国际承诺的和进口同类服务不予补贴或者给予较低补贴。</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bl>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color w:val="auto"/>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widowControl w:val="0"/>
        <w:suppressLineNumbers w:val="0"/>
        <w:snapToGrid/>
        <w:spacing w:beforeAutospacing="0" w:afterAutospacing="0" w:line="360" w:lineRule="auto"/>
        <w:ind w:left="0" w:leftChars="0" w:right="0" w:firstLine="0"/>
        <w:jc w:val="center"/>
        <w:outlineLvl w:val="0"/>
        <w:rPr>
          <w:rFonts w:hint="eastAsia" w:ascii="仿宋_GB2312" w:hAnsi="仿宋_GB2312" w:eastAsia="仿宋_GB2312" w:cs="仿宋_GB2312"/>
          <w:lang w:val="en-US" w:eastAsia="zh-CN"/>
        </w:rPr>
      </w:pPr>
      <w:bookmarkStart w:id="43" w:name="_Toc7050"/>
      <w:r>
        <w:rPr>
          <w:rFonts w:hint="eastAsia" w:ascii="仿宋_GB2312" w:hAnsi="仿宋_GB2312" w:eastAsia="仿宋_GB2312" w:cs="仿宋_GB2312"/>
          <w:b w:val="0"/>
          <w:bCs/>
          <w:color w:val="auto"/>
          <w:spacing w:val="0"/>
          <w:kern w:val="2"/>
          <w:position w:val="0"/>
          <w:sz w:val="28"/>
          <w:szCs w:val="30"/>
          <w:lang w:val="en-US" w:eastAsia="zh-CN" w:bidi="ar"/>
        </w:rPr>
        <w:t>公平竞争第三方审查表</w:t>
      </w:r>
      <w:bookmarkEnd w:id="43"/>
    </w:p>
    <w:tbl>
      <w:tblPr>
        <w:tblStyle w:val="13"/>
        <w:tblW w:w="904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767"/>
        <w:gridCol w:w="13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《高台县2021年制种大县（玉米）奖励政策实施方案》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高政发[2021]37号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3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3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3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3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3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3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3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3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3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3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3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3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3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3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3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3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3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3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3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3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3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3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3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3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6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3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6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3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6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3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6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3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65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3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70"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反审查标准九：不得排斥、限制或者强制外地经营者在本地投资或者设立分支机构，包括但不限于：4、没有法律法规依据，将在本地投资或者设立分支机构作为参与本地招标投标、享受补贴和优惠政策等的必要条件，变相强制外地经营者在本地投资或者设立分支机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2、违反审查标准十一：不得违法给予特定经营者优惠政策，包括但不限于：1、没有法律法规依据或者国务院规定，给予特定经营者财政奖励和补贴。</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bl>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color w:val="auto"/>
          <w:lang w:val="en-US" w:eastAsia="zh-CN"/>
        </w:rPr>
      </w:pPr>
    </w:p>
    <w:p>
      <w:pPr>
        <w:keepNext w:val="0"/>
        <w:keepLines w:val="0"/>
        <w:widowControl w:val="0"/>
        <w:suppressLineNumbers w:val="0"/>
        <w:snapToGrid/>
        <w:spacing w:beforeAutospacing="0" w:afterAutospacing="0" w:line="360" w:lineRule="auto"/>
        <w:ind w:left="0" w:leftChars="0" w:right="0" w:firstLine="0"/>
        <w:jc w:val="center"/>
        <w:outlineLvl w:val="0"/>
        <w:rPr>
          <w:rFonts w:hint="eastAsia" w:ascii="仿宋_GB2312" w:hAnsi="仿宋_GB2312" w:eastAsia="仿宋_GB2312" w:cs="仿宋_GB2312"/>
          <w:b w:val="0"/>
          <w:bCs/>
          <w:color w:val="auto"/>
          <w:spacing w:val="0"/>
          <w:position w:val="0"/>
          <w:sz w:val="24"/>
          <w:szCs w:val="24"/>
          <w:lang w:val="en-US" w:eastAsia="zh-CN"/>
        </w:rPr>
      </w:pPr>
      <w:bookmarkStart w:id="44" w:name="_Toc20634"/>
      <w:r>
        <w:rPr>
          <w:rFonts w:hint="eastAsia" w:ascii="仿宋_GB2312" w:hAnsi="仿宋_GB2312" w:eastAsia="仿宋_GB2312" w:cs="仿宋_GB2312"/>
          <w:b w:val="0"/>
          <w:bCs/>
          <w:color w:val="auto"/>
          <w:spacing w:val="0"/>
          <w:kern w:val="2"/>
          <w:position w:val="0"/>
          <w:sz w:val="28"/>
          <w:szCs w:val="30"/>
          <w:lang w:val="en-US" w:eastAsia="zh-CN" w:bidi="ar"/>
        </w:rPr>
        <w:t>公平竞争第三方审查表</w:t>
      </w:r>
      <w:bookmarkEnd w:id="44"/>
    </w:p>
    <w:tbl>
      <w:tblPr>
        <w:tblStyle w:val="13"/>
        <w:tblW w:w="904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832"/>
        <w:gridCol w:w="13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《高台县县属国有企业负责人薪酬管理办法（试行）》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高政办发[2021]49号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32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5"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内部管理性文件，不涉及市场主体经济活动。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bl>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color w:val="auto"/>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widowControl w:val="0"/>
        <w:suppressLineNumbers w:val="0"/>
        <w:snapToGrid/>
        <w:spacing w:beforeAutospacing="0" w:afterAutospacing="0" w:line="360" w:lineRule="auto"/>
        <w:ind w:left="0" w:leftChars="0" w:right="0" w:firstLine="0"/>
        <w:jc w:val="center"/>
        <w:outlineLvl w:val="0"/>
        <w:rPr>
          <w:rFonts w:hint="eastAsia" w:ascii="仿宋_GB2312" w:hAnsi="仿宋_GB2312" w:eastAsia="仿宋_GB2312" w:cs="仿宋_GB2312"/>
          <w:b w:val="0"/>
          <w:bCs/>
          <w:color w:val="auto"/>
          <w:spacing w:val="0"/>
          <w:position w:val="0"/>
          <w:sz w:val="24"/>
          <w:szCs w:val="24"/>
          <w:lang w:val="en-US" w:eastAsia="zh-CN"/>
        </w:rPr>
      </w:pPr>
      <w:bookmarkStart w:id="45" w:name="_Toc7679"/>
      <w:r>
        <w:rPr>
          <w:rFonts w:hint="eastAsia" w:ascii="仿宋_GB2312" w:hAnsi="仿宋_GB2312" w:eastAsia="仿宋_GB2312" w:cs="仿宋_GB2312"/>
          <w:b w:val="0"/>
          <w:bCs/>
          <w:color w:val="auto"/>
          <w:spacing w:val="0"/>
          <w:kern w:val="2"/>
          <w:position w:val="0"/>
          <w:sz w:val="28"/>
          <w:szCs w:val="30"/>
          <w:lang w:val="en-US" w:eastAsia="zh-CN" w:bidi="ar"/>
        </w:rPr>
        <w:t>公平竞争第三方审查表</w:t>
      </w:r>
      <w:bookmarkEnd w:id="45"/>
    </w:p>
    <w:tbl>
      <w:tblPr>
        <w:tblStyle w:val="13"/>
        <w:tblW w:w="904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816"/>
        <w:gridCol w:w="13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《高台县县属国有企业负责人经营业绩考核办法（试行）》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高政办发[2021]52号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95"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35"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内部管理性文件，不涉及市场主体的经济活动。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bl>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color w:val="auto"/>
          <w:lang w:val="en-US" w:eastAsia="zh-CN"/>
        </w:rPr>
      </w:pPr>
    </w:p>
    <w:p>
      <w:pPr>
        <w:keepNext w:val="0"/>
        <w:keepLines w:val="0"/>
        <w:widowControl w:val="0"/>
        <w:suppressLineNumbers w:val="0"/>
        <w:snapToGrid/>
        <w:spacing w:beforeAutospacing="0" w:afterAutospacing="0" w:line="360" w:lineRule="auto"/>
        <w:ind w:left="0" w:leftChars="0" w:right="0" w:firstLine="0"/>
        <w:jc w:val="center"/>
        <w:outlineLvl w:val="0"/>
        <w:rPr>
          <w:rFonts w:hint="eastAsia" w:ascii="仿宋_GB2312" w:hAnsi="仿宋_GB2312" w:eastAsia="仿宋_GB2312" w:cs="仿宋_GB2312"/>
          <w:color w:val="auto"/>
          <w:lang w:val="en-US" w:eastAsia="zh-CN"/>
        </w:rPr>
      </w:pPr>
      <w:bookmarkStart w:id="46" w:name="_Toc12416"/>
      <w:r>
        <w:rPr>
          <w:rFonts w:hint="eastAsia" w:ascii="仿宋_GB2312" w:hAnsi="仿宋_GB2312" w:eastAsia="仿宋_GB2312" w:cs="仿宋_GB2312"/>
          <w:b w:val="0"/>
          <w:bCs/>
          <w:color w:val="auto"/>
          <w:spacing w:val="0"/>
          <w:kern w:val="2"/>
          <w:position w:val="0"/>
          <w:sz w:val="28"/>
          <w:szCs w:val="30"/>
          <w:lang w:val="en-US" w:eastAsia="zh-CN" w:bidi="ar"/>
        </w:rPr>
        <w:t>公平竞争第三方审查表</w:t>
      </w:r>
      <w:bookmarkEnd w:id="46"/>
    </w:p>
    <w:tbl>
      <w:tblPr>
        <w:tblStyle w:val="13"/>
        <w:tblW w:w="904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995"/>
        <w:gridCol w:w="11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《高台县扶贫资产管理办法》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高政发[2021]55号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3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70"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不涉及市场主体经济活动。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bl>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color w:val="auto"/>
          <w:lang w:val="en-US" w:eastAsia="zh-CN"/>
        </w:rPr>
      </w:pPr>
    </w:p>
    <w:p>
      <w:pPr>
        <w:keepNext w:val="0"/>
        <w:keepLines w:val="0"/>
        <w:widowControl w:val="0"/>
        <w:suppressLineNumbers w:val="0"/>
        <w:snapToGrid/>
        <w:spacing w:beforeAutospacing="0" w:afterAutospacing="0" w:line="360" w:lineRule="auto"/>
        <w:ind w:left="0" w:leftChars="0" w:right="0" w:firstLine="0"/>
        <w:jc w:val="center"/>
        <w:outlineLvl w:val="0"/>
        <w:rPr>
          <w:rFonts w:hint="eastAsia" w:ascii="仿宋_GB2312" w:hAnsi="仿宋_GB2312" w:eastAsia="仿宋_GB2312" w:cs="仿宋_GB2312"/>
          <w:b w:val="0"/>
          <w:bCs/>
          <w:color w:val="auto"/>
          <w:spacing w:val="0"/>
          <w:position w:val="0"/>
          <w:sz w:val="24"/>
          <w:szCs w:val="24"/>
          <w:lang w:val="en-US" w:eastAsia="zh-CN"/>
        </w:rPr>
      </w:pPr>
      <w:bookmarkStart w:id="47" w:name="_Toc1951"/>
      <w:r>
        <w:rPr>
          <w:rFonts w:hint="eastAsia" w:ascii="仿宋_GB2312" w:hAnsi="仿宋_GB2312" w:eastAsia="仿宋_GB2312" w:cs="仿宋_GB2312"/>
          <w:b w:val="0"/>
          <w:bCs/>
          <w:color w:val="auto"/>
          <w:spacing w:val="0"/>
          <w:kern w:val="2"/>
          <w:position w:val="0"/>
          <w:sz w:val="28"/>
          <w:szCs w:val="30"/>
          <w:lang w:val="en-US" w:eastAsia="zh-CN" w:bidi="ar"/>
        </w:rPr>
        <w:t>公平竞争第三方审查表</w:t>
      </w:r>
      <w:bookmarkEnd w:id="47"/>
    </w:p>
    <w:tbl>
      <w:tblPr>
        <w:tblStyle w:val="1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865"/>
        <w:gridCol w:w="128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《高台县加强城区停车场（位）建设管理工作实施方案》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高政办发[2021]61号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5"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违反审查标准二：未经公平竞争不得授予经营者特许经营权，包括但不限于：第3项未采取招标投标，竞争性谈判等竞争方式，直接将特许经营权授予特定经营者。</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bl>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keepNext w:val="0"/>
        <w:keepLines w:val="0"/>
        <w:widowControl w:val="0"/>
        <w:suppressLineNumbers w:val="0"/>
        <w:snapToGrid/>
        <w:spacing w:beforeAutospacing="0" w:afterAutospacing="0" w:line="360" w:lineRule="auto"/>
        <w:ind w:left="0" w:leftChars="0" w:right="0" w:firstLine="0"/>
        <w:jc w:val="center"/>
        <w:outlineLvl w:val="0"/>
        <w:rPr>
          <w:rFonts w:hint="eastAsia" w:ascii="仿宋_GB2312" w:hAnsi="仿宋_GB2312" w:eastAsia="仿宋_GB2312" w:cs="仿宋_GB2312"/>
          <w:b w:val="0"/>
          <w:bCs/>
          <w:color w:val="auto"/>
          <w:spacing w:val="0"/>
          <w:kern w:val="2"/>
          <w:position w:val="0"/>
          <w:sz w:val="28"/>
          <w:szCs w:val="30"/>
          <w:lang w:val="en-US" w:eastAsia="zh-CN" w:bidi="ar"/>
        </w:rPr>
      </w:pPr>
      <w:bookmarkStart w:id="48" w:name="_Toc6736"/>
      <w:r>
        <w:rPr>
          <w:rFonts w:hint="eastAsia" w:ascii="仿宋_GB2312" w:hAnsi="仿宋_GB2312" w:eastAsia="仿宋_GB2312" w:cs="仿宋_GB2312"/>
          <w:b w:val="0"/>
          <w:bCs/>
          <w:color w:val="auto"/>
          <w:spacing w:val="0"/>
          <w:kern w:val="2"/>
          <w:position w:val="0"/>
          <w:sz w:val="28"/>
          <w:szCs w:val="30"/>
          <w:lang w:val="en-US" w:eastAsia="zh-CN" w:bidi="ar"/>
        </w:rPr>
        <w:t>公平竞争第三方审查表</w:t>
      </w:r>
      <w:bookmarkEnd w:id="48"/>
    </w:p>
    <w:tbl>
      <w:tblPr>
        <w:tblStyle w:val="13"/>
        <w:tblW w:w="904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913"/>
        <w:gridCol w:w="123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《高台县优化营商环境季调度年评价办法（试行）》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高政办发[2021]84号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14"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内部管理性文件，不涉及市场主体经济活动。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bl>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color w:val="auto"/>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widowControl w:val="0"/>
        <w:suppressLineNumbers w:val="0"/>
        <w:snapToGrid/>
        <w:spacing w:beforeAutospacing="0" w:afterAutospacing="0" w:line="360" w:lineRule="auto"/>
        <w:ind w:left="0" w:leftChars="0" w:right="0" w:firstLine="0"/>
        <w:jc w:val="center"/>
        <w:outlineLvl w:val="0"/>
        <w:rPr>
          <w:rFonts w:hint="eastAsia" w:ascii="仿宋_GB2312" w:hAnsi="仿宋_GB2312" w:eastAsia="仿宋_GB2312" w:cs="仿宋_GB2312"/>
          <w:lang w:val="en-US" w:eastAsia="zh-CN"/>
        </w:rPr>
      </w:pPr>
      <w:bookmarkStart w:id="49" w:name="_Toc3646"/>
      <w:r>
        <w:rPr>
          <w:rFonts w:hint="eastAsia" w:ascii="仿宋_GB2312" w:hAnsi="仿宋_GB2312" w:eastAsia="仿宋_GB2312" w:cs="仿宋_GB2312"/>
          <w:b w:val="0"/>
          <w:bCs/>
          <w:color w:val="auto"/>
          <w:spacing w:val="0"/>
          <w:kern w:val="2"/>
          <w:position w:val="0"/>
          <w:sz w:val="28"/>
          <w:szCs w:val="30"/>
          <w:lang w:val="en-US" w:eastAsia="zh-CN" w:bidi="ar"/>
        </w:rPr>
        <w:t>公平竞争第三方审查表</w:t>
      </w:r>
      <w:bookmarkEnd w:id="49"/>
    </w:p>
    <w:tbl>
      <w:tblPr>
        <w:tblStyle w:val="13"/>
        <w:tblW w:w="904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995"/>
        <w:gridCol w:w="11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34"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《高台县贯彻落实全省深化投资建设领域“放管服”改革持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续优化营商环境若干措施工作方案》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高政办发[2022]6号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15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075"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无违反公平竞争审核标准的内容。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bl>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color w:val="auto"/>
          <w:lang w:val="en-US" w:eastAsia="zh-CN"/>
        </w:rPr>
      </w:pPr>
    </w:p>
    <w:p>
      <w:pPr>
        <w:keepNext w:val="0"/>
        <w:keepLines w:val="0"/>
        <w:widowControl w:val="0"/>
        <w:suppressLineNumbers w:val="0"/>
        <w:snapToGrid/>
        <w:spacing w:beforeAutospacing="0" w:afterAutospacing="0" w:line="360" w:lineRule="auto"/>
        <w:ind w:left="0" w:leftChars="0" w:right="0" w:firstLine="0"/>
        <w:jc w:val="center"/>
        <w:outlineLvl w:val="0"/>
        <w:rPr>
          <w:rFonts w:hint="eastAsia" w:ascii="仿宋_GB2312" w:hAnsi="仿宋_GB2312" w:eastAsia="仿宋_GB2312" w:cs="仿宋_GB2312"/>
          <w:b w:val="0"/>
          <w:bCs/>
          <w:color w:val="auto"/>
          <w:spacing w:val="0"/>
          <w:position w:val="0"/>
          <w:sz w:val="24"/>
          <w:szCs w:val="24"/>
          <w:lang w:val="en-US" w:eastAsia="zh-CN"/>
        </w:rPr>
      </w:pPr>
      <w:bookmarkStart w:id="50" w:name="_Toc4575"/>
      <w:r>
        <w:rPr>
          <w:rFonts w:hint="eastAsia" w:ascii="仿宋_GB2312" w:hAnsi="仿宋_GB2312" w:eastAsia="仿宋_GB2312" w:cs="仿宋_GB2312"/>
          <w:b w:val="0"/>
          <w:bCs/>
          <w:color w:val="auto"/>
          <w:spacing w:val="0"/>
          <w:kern w:val="2"/>
          <w:position w:val="0"/>
          <w:sz w:val="28"/>
          <w:szCs w:val="30"/>
          <w:lang w:val="en-US" w:eastAsia="zh-CN" w:bidi="ar"/>
        </w:rPr>
        <w:t>公平竞争第三方审查表</w:t>
      </w:r>
      <w:bookmarkEnd w:id="50"/>
    </w:p>
    <w:tbl>
      <w:tblPr>
        <w:tblStyle w:val="13"/>
        <w:tblW w:w="904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881"/>
        <w:gridCol w:w="12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高台县人民政府办公室《关于下达2022年农业保险计划的通知》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高政办发[2022]10号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67"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未履行征求意见程序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未形成书面审查结论。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bl>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keepNext w:val="0"/>
        <w:keepLines w:val="0"/>
        <w:widowControl w:val="0"/>
        <w:suppressLineNumbers w:val="0"/>
        <w:snapToGrid/>
        <w:spacing w:beforeAutospacing="0" w:afterAutospacing="0" w:line="360" w:lineRule="auto"/>
        <w:ind w:left="0" w:leftChars="0" w:right="0" w:firstLine="0"/>
        <w:jc w:val="center"/>
        <w:outlineLvl w:val="0"/>
        <w:rPr>
          <w:rFonts w:hint="eastAsia" w:ascii="仿宋_GB2312" w:hAnsi="仿宋_GB2312" w:eastAsia="仿宋_GB2312" w:cs="仿宋_GB2312"/>
          <w:b w:val="0"/>
          <w:bCs/>
          <w:color w:val="auto"/>
          <w:spacing w:val="0"/>
          <w:position w:val="0"/>
          <w:sz w:val="24"/>
          <w:szCs w:val="24"/>
          <w:lang w:val="en-US" w:eastAsia="zh-CN"/>
        </w:rPr>
      </w:pPr>
      <w:bookmarkStart w:id="51" w:name="_Toc32367"/>
      <w:r>
        <w:rPr>
          <w:rFonts w:hint="eastAsia" w:ascii="仿宋_GB2312" w:hAnsi="仿宋_GB2312" w:eastAsia="仿宋_GB2312" w:cs="仿宋_GB2312"/>
          <w:b w:val="0"/>
          <w:bCs/>
          <w:color w:val="auto"/>
          <w:spacing w:val="0"/>
          <w:kern w:val="2"/>
          <w:position w:val="0"/>
          <w:sz w:val="28"/>
          <w:szCs w:val="30"/>
          <w:lang w:val="en-US" w:eastAsia="zh-CN" w:bidi="ar"/>
        </w:rPr>
        <w:t>公平竞争第三方审查表</w:t>
      </w:r>
      <w:bookmarkEnd w:id="51"/>
    </w:p>
    <w:tbl>
      <w:tblPr>
        <w:tblStyle w:val="13"/>
        <w:tblW w:w="904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865"/>
        <w:gridCol w:w="128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《高台县突发事件应急处置生活物资保障工作方案》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高政办发[2022]13号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5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2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29"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违反标准十五：不得强制经营者从事垄断行为。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bl>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color w:val="auto"/>
          <w:lang w:val="en-US" w:eastAsia="zh-CN"/>
        </w:rPr>
      </w:pPr>
    </w:p>
    <w:p>
      <w:pPr>
        <w:keepNext w:val="0"/>
        <w:keepLines w:val="0"/>
        <w:widowControl w:val="0"/>
        <w:suppressLineNumbers w:val="0"/>
        <w:snapToGrid/>
        <w:spacing w:beforeAutospacing="0" w:afterAutospacing="0" w:line="360" w:lineRule="auto"/>
        <w:ind w:left="0" w:leftChars="0" w:right="0" w:firstLine="0"/>
        <w:jc w:val="center"/>
        <w:outlineLvl w:val="0"/>
        <w:rPr>
          <w:rFonts w:hint="eastAsia" w:ascii="仿宋_GB2312" w:hAnsi="仿宋_GB2312" w:eastAsia="仿宋_GB2312" w:cs="仿宋_GB2312"/>
          <w:b w:val="0"/>
          <w:bCs/>
          <w:color w:val="auto"/>
          <w:spacing w:val="0"/>
          <w:position w:val="0"/>
          <w:sz w:val="24"/>
          <w:szCs w:val="24"/>
          <w:lang w:val="en-US" w:eastAsia="zh-CN"/>
        </w:rPr>
      </w:pPr>
      <w:bookmarkStart w:id="52" w:name="_Toc20821"/>
      <w:r>
        <w:rPr>
          <w:rFonts w:hint="eastAsia" w:ascii="仿宋_GB2312" w:hAnsi="仿宋_GB2312" w:eastAsia="仿宋_GB2312" w:cs="仿宋_GB2312"/>
          <w:b w:val="0"/>
          <w:bCs/>
          <w:color w:val="auto"/>
          <w:spacing w:val="0"/>
          <w:kern w:val="2"/>
          <w:position w:val="0"/>
          <w:sz w:val="28"/>
          <w:szCs w:val="30"/>
          <w:lang w:val="en-US" w:eastAsia="zh-CN" w:bidi="ar"/>
        </w:rPr>
        <w:t>公平竞争第三方审查表</w:t>
      </w:r>
      <w:bookmarkEnd w:id="52"/>
    </w:p>
    <w:tbl>
      <w:tblPr>
        <w:tblStyle w:val="1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897"/>
        <w:gridCol w:w="12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《高台县2022年县域经济高质量发展工作计划》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高政办发[2022]25号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2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2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2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2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2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2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2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2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2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2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2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2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2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2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2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2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2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2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2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2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2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2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2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2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2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2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2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2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2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427"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color w:val="auto"/>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不违反公平竞争审核标准</w:t>
            </w:r>
          </w:p>
        </w:tc>
      </w:tr>
    </w:tbl>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keepNext w:val="0"/>
        <w:keepLines w:val="0"/>
        <w:widowControl w:val="0"/>
        <w:suppressLineNumbers w:val="0"/>
        <w:snapToGrid/>
        <w:spacing w:beforeAutospacing="0" w:afterAutospacing="0" w:line="360" w:lineRule="auto"/>
        <w:ind w:left="0" w:leftChars="0" w:right="0" w:firstLine="0"/>
        <w:jc w:val="center"/>
        <w:outlineLvl w:val="0"/>
        <w:rPr>
          <w:rFonts w:hint="eastAsia" w:ascii="仿宋_GB2312" w:hAnsi="仿宋_GB2312" w:eastAsia="仿宋_GB2312" w:cs="仿宋_GB2312"/>
          <w:b w:val="0"/>
          <w:bCs/>
          <w:color w:val="auto"/>
          <w:spacing w:val="0"/>
          <w:position w:val="0"/>
          <w:sz w:val="24"/>
          <w:szCs w:val="24"/>
          <w:lang w:val="en-US" w:eastAsia="zh-CN"/>
        </w:rPr>
      </w:pPr>
      <w:bookmarkStart w:id="53" w:name="_Toc21006"/>
      <w:r>
        <w:rPr>
          <w:rFonts w:hint="eastAsia" w:ascii="仿宋_GB2312" w:hAnsi="仿宋_GB2312" w:eastAsia="仿宋_GB2312" w:cs="仿宋_GB2312"/>
          <w:b w:val="0"/>
          <w:bCs/>
          <w:color w:val="auto"/>
          <w:spacing w:val="0"/>
          <w:kern w:val="2"/>
          <w:position w:val="0"/>
          <w:sz w:val="28"/>
          <w:szCs w:val="30"/>
          <w:lang w:val="en-US" w:eastAsia="zh-CN" w:bidi="ar"/>
        </w:rPr>
        <w:t>公平竞争第三方审查表</w:t>
      </w:r>
      <w:bookmarkEnd w:id="53"/>
    </w:p>
    <w:tbl>
      <w:tblPr>
        <w:tblStyle w:val="13"/>
        <w:tblW w:w="8800" w:type="dxa"/>
        <w:tblInd w:w="91"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autofit"/>
        <w:tblCellMar>
          <w:top w:w="0" w:type="dxa"/>
          <w:left w:w="108" w:type="dxa"/>
          <w:bottom w:w="0" w:type="dxa"/>
          <w:right w:w="108" w:type="dxa"/>
        </w:tblCellMar>
      </w:tblPr>
      <w:tblGrid>
        <w:gridCol w:w="1760"/>
        <w:gridCol w:w="1760"/>
        <w:gridCol w:w="1760"/>
        <w:gridCol w:w="2467"/>
        <w:gridCol w:w="105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97" w:hRule="exact"/>
        </w:trPr>
        <w:tc>
          <w:tcPr>
            <w:tcW w:w="3520" w:type="dxa"/>
            <w:gridSpan w:val="2"/>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仿宋_GB2312" w:hAnsi="仿宋_GB2312" w:eastAsia="仿宋_GB2312" w:cs="仿宋_GB2312"/>
                <w:i w:val="0"/>
                <w:iCs w:val="0"/>
                <w:color w:val="auto"/>
                <w:sz w:val="24"/>
                <w:szCs w:val="24"/>
                <w:u w:val="none"/>
              </w:rPr>
            </w:pPr>
            <w:r>
              <w:rPr>
                <w:rStyle w:val="21"/>
                <w:rFonts w:hint="eastAsia" w:ascii="仿宋_GB2312" w:hAnsi="仿宋_GB2312" w:eastAsia="仿宋_GB2312" w:cs="仿宋_GB2312"/>
                <w:color w:val="auto"/>
                <w:lang w:val="en-US" w:eastAsia="zh-CN" w:bidi="ar"/>
              </w:rPr>
              <w:t>文件名称</w:t>
            </w:r>
          </w:p>
        </w:tc>
        <w:tc>
          <w:tcPr>
            <w:tcW w:w="5280" w:type="dxa"/>
            <w:gridSpan w:val="3"/>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仿宋_GB2312" w:hAnsi="仿宋_GB2312" w:eastAsia="仿宋_GB2312" w:cs="仿宋_GB2312"/>
                <w:i w:val="0"/>
                <w:iCs w:val="0"/>
                <w:color w:val="auto"/>
                <w:sz w:val="24"/>
                <w:szCs w:val="24"/>
                <w:u w:val="none"/>
              </w:rPr>
            </w:pPr>
            <w:r>
              <w:rPr>
                <w:rStyle w:val="21"/>
                <w:rFonts w:hint="eastAsia" w:ascii="仿宋_GB2312" w:hAnsi="仿宋_GB2312" w:eastAsia="仿宋_GB2312" w:cs="仿宋_GB2312"/>
                <w:color w:val="auto"/>
                <w:lang w:val="en-US" w:eastAsia="zh-CN" w:bidi="ar"/>
              </w:rPr>
              <w:t>《高台县人民政府外聘法律顾问工作规则》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97" w:hRule="exact"/>
        </w:trPr>
        <w:tc>
          <w:tcPr>
            <w:tcW w:w="3520" w:type="dxa"/>
            <w:gridSpan w:val="2"/>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仿宋_GB2312" w:hAnsi="仿宋_GB2312" w:eastAsia="仿宋_GB2312" w:cs="仿宋_GB2312"/>
                <w:i w:val="0"/>
                <w:iCs w:val="0"/>
                <w:color w:val="auto"/>
                <w:sz w:val="24"/>
                <w:szCs w:val="24"/>
                <w:u w:val="none"/>
              </w:rPr>
            </w:pPr>
            <w:r>
              <w:rPr>
                <w:rStyle w:val="21"/>
                <w:rFonts w:hint="eastAsia" w:ascii="仿宋_GB2312" w:hAnsi="仿宋_GB2312" w:eastAsia="仿宋_GB2312" w:cs="仿宋_GB2312"/>
                <w:color w:val="auto"/>
                <w:lang w:val="en-US" w:eastAsia="zh-CN" w:bidi="ar"/>
              </w:rPr>
              <w:t>文号</w:t>
            </w:r>
          </w:p>
        </w:tc>
        <w:tc>
          <w:tcPr>
            <w:tcW w:w="5280" w:type="dxa"/>
            <w:gridSpan w:val="3"/>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仿宋_GB2312" w:hAnsi="仿宋_GB2312" w:eastAsia="仿宋_GB2312" w:cs="仿宋_GB2312"/>
                <w:i w:val="0"/>
                <w:iCs w:val="0"/>
                <w:color w:val="auto"/>
                <w:sz w:val="24"/>
                <w:szCs w:val="24"/>
                <w:u w:val="none"/>
              </w:rPr>
            </w:pPr>
            <w:r>
              <w:rPr>
                <w:rStyle w:val="21"/>
                <w:rFonts w:hint="eastAsia" w:ascii="仿宋_GB2312" w:hAnsi="仿宋_GB2312" w:eastAsia="仿宋_GB2312" w:cs="仿宋_GB2312"/>
                <w:color w:val="auto"/>
                <w:lang w:val="en-US" w:eastAsia="zh-CN" w:bidi="ar"/>
              </w:rPr>
              <w:t>高政办发[2022]27号</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97" w:hRule="exact"/>
        </w:trPr>
        <w:tc>
          <w:tcPr>
            <w:tcW w:w="5280" w:type="dxa"/>
            <w:gridSpan w:val="3"/>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仿宋_GB2312" w:hAnsi="仿宋_GB2312" w:eastAsia="仿宋_GB2312" w:cs="仿宋_GB2312"/>
                <w:i w:val="0"/>
                <w:iCs w:val="0"/>
                <w:color w:val="auto"/>
                <w:sz w:val="24"/>
                <w:szCs w:val="24"/>
                <w:u w:val="none"/>
              </w:rPr>
            </w:pPr>
            <w:r>
              <w:rPr>
                <w:rStyle w:val="21"/>
                <w:rFonts w:hint="eastAsia" w:ascii="仿宋_GB2312" w:hAnsi="仿宋_GB2312" w:eastAsia="仿宋_GB2312" w:cs="仿宋_GB2312"/>
                <w:color w:val="auto"/>
                <w:lang w:val="en-US" w:eastAsia="zh-CN" w:bidi="ar"/>
              </w:rPr>
              <w:t>制定机关</w:t>
            </w:r>
          </w:p>
        </w:tc>
        <w:tc>
          <w:tcPr>
            <w:tcW w:w="3520" w:type="dxa"/>
            <w:gridSpan w:val="2"/>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仿宋_GB2312" w:hAnsi="仿宋_GB2312" w:eastAsia="仿宋_GB2312" w:cs="仿宋_GB2312"/>
                <w:i w:val="0"/>
                <w:iCs w:val="0"/>
                <w:color w:val="auto"/>
                <w:sz w:val="24"/>
                <w:szCs w:val="24"/>
                <w:u w:val="none"/>
              </w:rPr>
            </w:pPr>
            <w:r>
              <w:rPr>
                <w:rStyle w:val="21"/>
                <w:rFonts w:hint="eastAsia" w:ascii="仿宋_GB2312" w:hAnsi="仿宋_GB2312" w:eastAsia="仿宋_GB2312" w:cs="仿宋_GB2312"/>
                <w:color w:val="auto"/>
                <w:lang w:val="en-US" w:eastAsia="zh-CN" w:bidi="ar"/>
              </w:rPr>
              <w:t>高台县人民政府</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97" w:hRule="exact"/>
        </w:trPr>
        <w:tc>
          <w:tcPr>
            <w:tcW w:w="5280" w:type="dxa"/>
            <w:gridSpan w:val="3"/>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仿宋_GB2312" w:hAnsi="仿宋_GB2312" w:eastAsia="仿宋_GB2312" w:cs="仿宋_GB2312"/>
                <w:i w:val="0"/>
                <w:iCs w:val="0"/>
                <w:color w:val="auto"/>
                <w:sz w:val="24"/>
                <w:szCs w:val="24"/>
                <w:u w:val="none"/>
              </w:rPr>
            </w:pPr>
            <w:r>
              <w:rPr>
                <w:rStyle w:val="21"/>
                <w:rFonts w:hint="eastAsia" w:ascii="仿宋_GB2312" w:hAnsi="仿宋_GB2312" w:eastAsia="仿宋_GB2312" w:cs="仿宋_GB2312"/>
                <w:color w:val="auto"/>
                <w:lang w:val="en-US" w:eastAsia="zh-CN" w:bidi="ar"/>
              </w:rPr>
              <w:t>1、是否开展内部审查</w:t>
            </w:r>
          </w:p>
        </w:tc>
        <w:tc>
          <w:tcPr>
            <w:tcW w:w="3520" w:type="dxa"/>
            <w:gridSpan w:val="2"/>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仿宋_GB2312" w:hAnsi="仿宋_GB2312" w:eastAsia="仿宋_GB2312" w:cs="仿宋_GB2312"/>
                <w:i w:val="0"/>
                <w:iCs w:val="0"/>
                <w:color w:val="auto"/>
                <w:sz w:val="24"/>
                <w:szCs w:val="24"/>
                <w:u w:val="none"/>
              </w:rPr>
            </w:pPr>
            <w:r>
              <w:rPr>
                <w:rStyle w:val="21"/>
                <w:rFonts w:hint="eastAsia" w:ascii="仿宋_GB2312" w:hAnsi="仿宋_GB2312" w:eastAsia="仿宋_GB2312" w:cs="仿宋_GB2312"/>
                <w:color w:val="auto"/>
                <w:lang w:val="en-US" w:eastAsia="zh-CN" w:bidi="ar"/>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97" w:hRule="exact"/>
        </w:trPr>
        <w:tc>
          <w:tcPr>
            <w:tcW w:w="5280" w:type="dxa"/>
            <w:gridSpan w:val="3"/>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仿宋_GB2312" w:hAnsi="仿宋_GB2312" w:eastAsia="仿宋_GB2312" w:cs="仿宋_GB2312"/>
                <w:i w:val="0"/>
                <w:iCs w:val="0"/>
                <w:color w:val="auto"/>
                <w:sz w:val="24"/>
                <w:szCs w:val="24"/>
                <w:u w:val="none"/>
              </w:rPr>
            </w:pPr>
            <w:r>
              <w:rPr>
                <w:rStyle w:val="21"/>
                <w:rFonts w:hint="eastAsia" w:ascii="仿宋_GB2312" w:hAnsi="仿宋_GB2312" w:eastAsia="仿宋_GB2312" w:cs="仿宋_GB2312"/>
                <w:color w:val="auto"/>
                <w:lang w:val="en-US" w:eastAsia="zh-CN" w:bidi="ar"/>
              </w:rPr>
              <w:t>2、是否履行征求意见程序</w:t>
            </w:r>
          </w:p>
        </w:tc>
        <w:tc>
          <w:tcPr>
            <w:tcW w:w="3520" w:type="dxa"/>
            <w:gridSpan w:val="2"/>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仿宋_GB2312" w:hAnsi="仿宋_GB2312" w:eastAsia="仿宋_GB2312" w:cs="仿宋_GB2312"/>
                <w:i w:val="0"/>
                <w:iCs w:val="0"/>
                <w:color w:val="auto"/>
                <w:sz w:val="24"/>
                <w:szCs w:val="24"/>
                <w:u w:val="none"/>
              </w:rPr>
            </w:pPr>
            <w:r>
              <w:rPr>
                <w:rStyle w:val="21"/>
                <w:rFonts w:hint="eastAsia" w:ascii="仿宋_GB2312" w:hAnsi="仿宋_GB2312" w:eastAsia="仿宋_GB2312" w:cs="仿宋_GB2312"/>
                <w:color w:val="auto"/>
                <w:lang w:val="en-US" w:eastAsia="zh-CN" w:bidi="ar"/>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97" w:hRule="exact"/>
        </w:trPr>
        <w:tc>
          <w:tcPr>
            <w:tcW w:w="8800" w:type="dxa"/>
            <w:gridSpan w:val="5"/>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仿宋_GB2312" w:hAnsi="仿宋_GB2312" w:eastAsia="仿宋_GB2312" w:cs="仿宋_GB2312"/>
                <w:i w:val="0"/>
                <w:iCs w:val="0"/>
                <w:color w:val="auto"/>
                <w:sz w:val="24"/>
                <w:szCs w:val="24"/>
                <w:u w:val="none"/>
              </w:rPr>
            </w:pPr>
            <w:r>
              <w:rPr>
                <w:rStyle w:val="21"/>
                <w:rFonts w:hint="eastAsia" w:ascii="仿宋_GB2312" w:hAnsi="仿宋_GB2312" w:eastAsia="仿宋_GB2312" w:cs="仿宋_GB2312"/>
                <w:color w:val="auto"/>
                <w:lang w:val="en-US" w:eastAsia="zh-CN" w:bidi="ar"/>
              </w:rPr>
              <w:t>竞争影响评估</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97" w:hRule="exact"/>
        </w:trPr>
        <w:tc>
          <w:tcPr>
            <w:tcW w:w="7747" w:type="dxa"/>
            <w:gridSpan w:val="4"/>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仿宋_GB2312" w:hAnsi="仿宋_GB2312" w:eastAsia="仿宋_GB2312" w:cs="仿宋_GB2312"/>
                <w:i w:val="0"/>
                <w:iCs w:val="0"/>
                <w:color w:val="auto"/>
                <w:sz w:val="24"/>
                <w:szCs w:val="24"/>
                <w:u w:val="none"/>
              </w:rPr>
            </w:pPr>
            <w:r>
              <w:rPr>
                <w:rStyle w:val="21"/>
                <w:rFonts w:hint="eastAsia" w:ascii="仿宋_GB2312" w:hAnsi="仿宋_GB2312" w:eastAsia="仿宋_GB2312" w:cs="仿宋_GB2312"/>
                <w:color w:val="auto"/>
                <w:lang w:val="en-US" w:eastAsia="zh-CN" w:bidi="ar"/>
              </w:rPr>
              <w:t>一、是否违反市场准入和退出标准</w:t>
            </w:r>
          </w:p>
        </w:tc>
        <w:tc>
          <w:tcPr>
            <w:tcW w:w="1053" w:type="dxa"/>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仿宋_GB2312" w:hAnsi="仿宋_GB2312" w:eastAsia="仿宋_GB2312" w:cs="仿宋_GB2312"/>
                <w:i w:val="0"/>
                <w:iCs w:val="0"/>
                <w:color w:val="auto"/>
                <w:sz w:val="24"/>
                <w:szCs w:val="24"/>
                <w:u w:val="none"/>
              </w:rPr>
            </w:pPr>
            <w:r>
              <w:rPr>
                <w:rStyle w:val="21"/>
                <w:rFonts w:hint="eastAsia" w:ascii="仿宋_GB2312" w:hAnsi="仿宋_GB2312" w:eastAsia="仿宋_GB2312" w:cs="仿宋_GB2312"/>
                <w:color w:val="auto"/>
                <w:lang w:val="en-US" w:eastAsia="zh-CN" w:bidi="ar"/>
              </w:rPr>
              <w:t>是/否</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97" w:hRule="exact"/>
        </w:trPr>
        <w:tc>
          <w:tcPr>
            <w:tcW w:w="7747" w:type="dxa"/>
            <w:gridSpan w:val="4"/>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仿宋_GB2312" w:hAnsi="仿宋_GB2312" w:eastAsia="仿宋_GB2312" w:cs="仿宋_GB2312"/>
                <w:i w:val="0"/>
                <w:iCs w:val="0"/>
                <w:color w:val="auto"/>
                <w:sz w:val="24"/>
                <w:szCs w:val="24"/>
                <w:u w:val="none"/>
              </w:rPr>
            </w:pPr>
            <w:r>
              <w:rPr>
                <w:rStyle w:val="21"/>
                <w:rFonts w:hint="eastAsia" w:ascii="仿宋_GB2312" w:hAnsi="仿宋_GB2312" w:eastAsia="仿宋_GB2312" w:cs="仿宋_GB2312"/>
                <w:color w:val="auto"/>
                <w:lang w:val="en-US" w:eastAsia="zh-CN" w:bidi="ar"/>
              </w:rPr>
              <w:t>1、设置不合理和歧视性的准入和退出条件</w:t>
            </w:r>
          </w:p>
        </w:tc>
        <w:tc>
          <w:tcPr>
            <w:tcW w:w="1053"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both"/>
              <w:rPr>
                <w:rFonts w:hint="eastAsia" w:ascii="仿宋_GB2312" w:hAnsi="仿宋_GB2312" w:eastAsia="仿宋_GB2312" w:cs="仿宋_GB2312"/>
                <w:i w:val="0"/>
                <w:iCs w:val="0"/>
                <w:color w:val="auto"/>
                <w:sz w:val="24"/>
                <w:szCs w:val="24"/>
                <w:u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97" w:hRule="exact"/>
        </w:trPr>
        <w:tc>
          <w:tcPr>
            <w:tcW w:w="7747" w:type="dxa"/>
            <w:gridSpan w:val="4"/>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仿宋_GB2312" w:hAnsi="仿宋_GB2312" w:eastAsia="仿宋_GB2312" w:cs="仿宋_GB2312"/>
                <w:i w:val="0"/>
                <w:iCs w:val="0"/>
                <w:color w:val="auto"/>
                <w:sz w:val="24"/>
                <w:szCs w:val="24"/>
                <w:u w:val="none"/>
              </w:rPr>
            </w:pPr>
            <w:r>
              <w:rPr>
                <w:rStyle w:val="21"/>
                <w:rFonts w:hint="eastAsia" w:ascii="仿宋_GB2312" w:hAnsi="仿宋_GB2312" w:eastAsia="仿宋_GB2312" w:cs="仿宋_GB2312"/>
                <w:color w:val="auto"/>
                <w:lang w:val="en-US" w:eastAsia="zh-CN" w:bidi="ar"/>
              </w:rPr>
              <w:t>2、未经公平竞争授予经营者特许经营权</w:t>
            </w:r>
          </w:p>
        </w:tc>
        <w:tc>
          <w:tcPr>
            <w:tcW w:w="1053"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both"/>
              <w:rPr>
                <w:rFonts w:hint="eastAsia" w:ascii="仿宋_GB2312" w:hAnsi="仿宋_GB2312" w:eastAsia="仿宋_GB2312" w:cs="仿宋_GB2312"/>
                <w:i w:val="0"/>
                <w:iCs w:val="0"/>
                <w:color w:val="auto"/>
                <w:sz w:val="24"/>
                <w:szCs w:val="24"/>
                <w:u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97" w:hRule="exact"/>
        </w:trPr>
        <w:tc>
          <w:tcPr>
            <w:tcW w:w="7747" w:type="dxa"/>
            <w:gridSpan w:val="4"/>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仿宋_GB2312" w:hAnsi="仿宋_GB2312" w:eastAsia="仿宋_GB2312" w:cs="仿宋_GB2312"/>
                <w:i w:val="0"/>
                <w:iCs w:val="0"/>
                <w:color w:val="auto"/>
                <w:sz w:val="24"/>
                <w:szCs w:val="24"/>
                <w:u w:val="none"/>
              </w:rPr>
            </w:pPr>
            <w:r>
              <w:rPr>
                <w:rStyle w:val="21"/>
                <w:rFonts w:hint="eastAsia" w:ascii="仿宋_GB2312" w:hAnsi="仿宋_GB2312" w:eastAsia="仿宋_GB2312" w:cs="仿宋_GB2312"/>
                <w:color w:val="auto"/>
                <w:lang w:val="en-US" w:eastAsia="zh-CN" w:bidi="ar"/>
              </w:rPr>
              <w:t>3、限定经营、购买、使用特定经营者提供的商品和服务</w:t>
            </w:r>
          </w:p>
        </w:tc>
        <w:tc>
          <w:tcPr>
            <w:tcW w:w="1053"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both"/>
              <w:rPr>
                <w:rFonts w:hint="eastAsia" w:ascii="仿宋_GB2312" w:hAnsi="仿宋_GB2312" w:eastAsia="仿宋_GB2312" w:cs="仿宋_GB2312"/>
                <w:i w:val="0"/>
                <w:iCs w:val="0"/>
                <w:color w:val="auto"/>
                <w:sz w:val="24"/>
                <w:szCs w:val="24"/>
                <w:u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97" w:hRule="exact"/>
        </w:trPr>
        <w:tc>
          <w:tcPr>
            <w:tcW w:w="7747" w:type="dxa"/>
            <w:gridSpan w:val="4"/>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仿宋_GB2312" w:hAnsi="仿宋_GB2312" w:eastAsia="仿宋_GB2312" w:cs="仿宋_GB2312"/>
                <w:i w:val="0"/>
                <w:iCs w:val="0"/>
                <w:color w:val="auto"/>
                <w:sz w:val="24"/>
                <w:szCs w:val="24"/>
                <w:u w:val="none"/>
              </w:rPr>
            </w:pPr>
            <w:r>
              <w:rPr>
                <w:rStyle w:val="21"/>
                <w:rFonts w:hint="eastAsia" w:ascii="仿宋_GB2312" w:hAnsi="仿宋_GB2312" w:eastAsia="仿宋_GB2312" w:cs="仿宋_GB2312"/>
                <w:color w:val="auto"/>
                <w:lang w:val="en-US" w:eastAsia="zh-CN" w:bidi="ar"/>
              </w:rPr>
              <w:t>4、设置没有法律法规依据的审批或者具有行政审批性质的事前备案程序</w:t>
            </w:r>
          </w:p>
        </w:tc>
        <w:tc>
          <w:tcPr>
            <w:tcW w:w="1053"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both"/>
              <w:rPr>
                <w:rFonts w:hint="eastAsia" w:ascii="仿宋_GB2312" w:hAnsi="仿宋_GB2312" w:eastAsia="仿宋_GB2312" w:cs="仿宋_GB2312"/>
                <w:i w:val="0"/>
                <w:iCs w:val="0"/>
                <w:color w:val="auto"/>
                <w:sz w:val="24"/>
                <w:szCs w:val="24"/>
                <w:u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97" w:hRule="exact"/>
        </w:trPr>
        <w:tc>
          <w:tcPr>
            <w:tcW w:w="7747" w:type="dxa"/>
            <w:gridSpan w:val="4"/>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仿宋_GB2312" w:hAnsi="仿宋_GB2312" w:eastAsia="仿宋_GB2312" w:cs="仿宋_GB2312"/>
                <w:i w:val="0"/>
                <w:iCs w:val="0"/>
                <w:color w:val="auto"/>
                <w:sz w:val="24"/>
                <w:szCs w:val="24"/>
                <w:u w:val="none"/>
              </w:rPr>
            </w:pPr>
            <w:r>
              <w:rPr>
                <w:rStyle w:val="21"/>
                <w:rFonts w:hint="eastAsia" w:ascii="仿宋_GB2312" w:hAnsi="仿宋_GB2312" w:eastAsia="仿宋_GB2312" w:cs="仿宋_GB2312"/>
                <w:color w:val="auto"/>
                <w:lang w:val="en-US" w:eastAsia="zh-CN" w:bidi="ar"/>
              </w:rPr>
              <w:t>5、对市场准入负面清单以外的行业、领域、业务设置审批程序</w:t>
            </w:r>
          </w:p>
        </w:tc>
        <w:tc>
          <w:tcPr>
            <w:tcW w:w="1053"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both"/>
              <w:rPr>
                <w:rFonts w:hint="eastAsia" w:ascii="仿宋_GB2312" w:hAnsi="仿宋_GB2312" w:eastAsia="仿宋_GB2312" w:cs="仿宋_GB2312"/>
                <w:i w:val="0"/>
                <w:iCs w:val="0"/>
                <w:color w:val="auto"/>
                <w:sz w:val="24"/>
                <w:szCs w:val="24"/>
                <w:u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97" w:hRule="exact"/>
        </w:trPr>
        <w:tc>
          <w:tcPr>
            <w:tcW w:w="7747" w:type="dxa"/>
            <w:gridSpan w:val="4"/>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仿宋_GB2312" w:hAnsi="仿宋_GB2312" w:eastAsia="仿宋_GB2312" w:cs="仿宋_GB2312"/>
                <w:i w:val="0"/>
                <w:iCs w:val="0"/>
                <w:color w:val="auto"/>
                <w:sz w:val="24"/>
                <w:szCs w:val="24"/>
                <w:u w:val="none"/>
              </w:rPr>
            </w:pPr>
            <w:r>
              <w:rPr>
                <w:rStyle w:val="21"/>
                <w:rFonts w:hint="eastAsia" w:ascii="仿宋_GB2312" w:hAnsi="仿宋_GB2312" w:eastAsia="仿宋_GB2312" w:cs="仿宋_GB2312"/>
                <w:color w:val="auto"/>
                <w:lang w:val="en-US" w:eastAsia="zh-CN" w:bidi="ar"/>
              </w:rPr>
              <w:t>二、是否违反商品要素自由流通标准</w:t>
            </w:r>
          </w:p>
        </w:tc>
        <w:tc>
          <w:tcPr>
            <w:tcW w:w="1053" w:type="dxa"/>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仿宋_GB2312" w:hAnsi="仿宋_GB2312" w:eastAsia="仿宋_GB2312" w:cs="仿宋_GB2312"/>
                <w:i w:val="0"/>
                <w:iCs w:val="0"/>
                <w:color w:val="auto"/>
                <w:sz w:val="24"/>
                <w:szCs w:val="24"/>
                <w:u w:val="none"/>
              </w:rPr>
            </w:pPr>
            <w:r>
              <w:rPr>
                <w:rStyle w:val="21"/>
                <w:rFonts w:hint="eastAsia" w:ascii="仿宋_GB2312" w:hAnsi="仿宋_GB2312" w:eastAsia="仿宋_GB2312" w:cs="仿宋_GB2312"/>
                <w:color w:val="auto"/>
                <w:lang w:val="en-US" w:eastAsia="zh-CN" w:bidi="ar"/>
              </w:rPr>
              <w:t>是/否</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97" w:hRule="exact"/>
        </w:trPr>
        <w:tc>
          <w:tcPr>
            <w:tcW w:w="7747" w:type="dxa"/>
            <w:gridSpan w:val="4"/>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仿宋_GB2312" w:hAnsi="仿宋_GB2312" w:eastAsia="仿宋_GB2312" w:cs="仿宋_GB2312"/>
                <w:i w:val="0"/>
                <w:iCs w:val="0"/>
                <w:color w:val="auto"/>
                <w:sz w:val="24"/>
                <w:szCs w:val="24"/>
                <w:u w:val="none"/>
              </w:rPr>
            </w:pPr>
            <w:r>
              <w:rPr>
                <w:rStyle w:val="21"/>
                <w:rFonts w:hint="eastAsia" w:ascii="仿宋_GB2312" w:hAnsi="仿宋_GB2312" w:eastAsia="仿宋_GB2312" w:cs="仿宋_GB2312"/>
                <w:color w:val="auto"/>
                <w:lang w:val="en-US" w:eastAsia="zh-CN" w:bidi="ar"/>
              </w:rPr>
              <w:t>1、对外地和进口食品、服务实行歧视性价格或补贴政策</w:t>
            </w:r>
          </w:p>
        </w:tc>
        <w:tc>
          <w:tcPr>
            <w:tcW w:w="1053"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both"/>
              <w:rPr>
                <w:rFonts w:hint="eastAsia" w:ascii="仿宋_GB2312" w:hAnsi="仿宋_GB2312" w:eastAsia="仿宋_GB2312" w:cs="仿宋_GB2312"/>
                <w:i w:val="0"/>
                <w:iCs w:val="0"/>
                <w:color w:val="auto"/>
                <w:sz w:val="24"/>
                <w:szCs w:val="24"/>
                <w:u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97" w:hRule="exact"/>
        </w:trPr>
        <w:tc>
          <w:tcPr>
            <w:tcW w:w="7747" w:type="dxa"/>
            <w:gridSpan w:val="4"/>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仿宋_GB2312" w:hAnsi="仿宋_GB2312" w:eastAsia="仿宋_GB2312" w:cs="仿宋_GB2312"/>
                <w:i w:val="0"/>
                <w:iCs w:val="0"/>
                <w:color w:val="auto"/>
                <w:sz w:val="24"/>
                <w:szCs w:val="24"/>
                <w:u w:val="none"/>
              </w:rPr>
            </w:pPr>
            <w:r>
              <w:rPr>
                <w:rStyle w:val="21"/>
                <w:rFonts w:hint="eastAsia" w:ascii="仿宋_GB2312" w:hAnsi="仿宋_GB2312" w:eastAsia="仿宋_GB2312" w:cs="仿宋_GB2312"/>
                <w:color w:val="auto"/>
                <w:lang w:val="en-US" w:eastAsia="zh-CN" w:bidi="ar"/>
              </w:rPr>
              <w:t>2、限制外地和进口商品、服务进入本地市场或阻碍本地商品运出</w:t>
            </w:r>
          </w:p>
        </w:tc>
        <w:tc>
          <w:tcPr>
            <w:tcW w:w="1053"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both"/>
              <w:rPr>
                <w:rFonts w:hint="eastAsia" w:ascii="仿宋_GB2312" w:hAnsi="仿宋_GB2312" w:eastAsia="仿宋_GB2312" w:cs="仿宋_GB2312"/>
                <w:i w:val="0"/>
                <w:iCs w:val="0"/>
                <w:color w:val="auto"/>
                <w:sz w:val="24"/>
                <w:szCs w:val="24"/>
                <w:u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97" w:hRule="exact"/>
        </w:trPr>
        <w:tc>
          <w:tcPr>
            <w:tcW w:w="7747" w:type="dxa"/>
            <w:gridSpan w:val="4"/>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仿宋_GB2312" w:hAnsi="仿宋_GB2312" w:eastAsia="仿宋_GB2312" w:cs="仿宋_GB2312"/>
                <w:i w:val="0"/>
                <w:iCs w:val="0"/>
                <w:color w:val="auto"/>
                <w:sz w:val="24"/>
                <w:szCs w:val="24"/>
                <w:u w:val="none"/>
              </w:rPr>
            </w:pPr>
            <w:r>
              <w:rPr>
                <w:rStyle w:val="21"/>
                <w:rFonts w:hint="eastAsia" w:ascii="仿宋_GB2312" w:hAnsi="仿宋_GB2312" w:eastAsia="仿宋_GB2312" w:cs="仿宋_GB2312"/>
                <w:color w:val="auto"/>
                <w:lang w:val="en-US" w:eastAsia="zh-CN" w:bidi="ar"/>
              </w:rPr>
              <w:t>3、排斥或限制外地经营者参加本地招标投标活动</w:t>
            </w:r>
          </w:p>
        </w:tc>
        <w:tc>
          <w:tcPr>
            <w:tcW w:w="1053"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both"/>
              <w:rPr>
                <w:rFonts w:hint="eastAsia" w:ascii="仿宋_GB2312" w:hAnsi="仿宋_GB2312" w:eastAsia="仿宋_GB2312" w:cs="仿宋_GB2312"/>
                <w:i w:val="0"/>
                <w:iCs w:val="0"/>
                <w:color w:val="auto"/>
                <w:sz w:val="24"/>
                <w:szCs w:val="24"/>
                <w:u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97" w:hRule="exact"/>
        </w:trPr>
        <w:tc>
          <w:tcPr>
            <w:tcW w:w="7747" w:type="dxa"/>
            <w:gridSpan w:val="4"/>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仿宋_GB2312" w:hAnsi="仿宋_GB2312" w:eastAsia="仿宋_GB2312" w:cs="仿宋_GB2312"/>
                <w:i w:val="0"/>
                <w:iCs w:val="0"/>
                <w:color w:val="auto"/>
                <w:sz w:val="24"/>
                <w:szCs w:val="24"/>
                <w:u w:val="none"/>
              </w:rPr>
            </w:pPr>
            <w:r>
              <w:rPr>
                <w:rStyle w:val="21"/>
                <w:rFonts w:hint="eastAsia" w:ascii="仿宋_GB2312" w:hAnsi="仿宋_GB2312" w:eastAsia="仿宋_GB2312" w:cs="仿宋_GB2312"/>
                <w:color w:val="auto"/>
                <w:lang w:val="en-US" w:eastAsia="zh-CN" w:bidi="ar"/>
              </w:rPr>
              <w:t>4、排斥或限制外地经营者在本地投资或设立分支机构</w:t>
            </w:r>
          </w:p>
        </w:tc>
        <w:tc>
          <w:tcPr>
            <w:tcW w:w="1053"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both"/>
              <w:rPr>
                <w:rFonts w:hint="eastAsia" w:ascii="仿宋_GB2312" w:hAnsi="仿宋_GB2312" w:eastAsia="仿宋_GB2312" w:cs="仿宋_GB2312"/>
                <w:i w:val="0"/>
                <w:iCs w:val="0"/>
                <w:color w:val="auto"/>
                <w:sz w:val="24"/>
                <w:szCs w:val="24"/>
                <w:u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97" w:hRule="exact"/>
        </w:trPr>
        <w:tc>
          <w:tcPr>
            <w:tcW w:w="7747" w:type="dxa"/>
            <w:gridSpan w:val="4"/>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仿宋_GB2312" w:hAnsi="仿宋_GB2312" w:eastAsia="仿宋_GB2312" w:cs="仿宋_GB2312"/>
                <w:i w:val="0"/>
                <w:iCs w:val="0"/>
                <w:color w:val="auto"/>
                <w:sz w:val="24"/>
                <w:szCs w:val="24"/>
                <w:u w:val="none"/>
              </w:rPr>
            </w:pPr>
            <w:r>
              <w:rPr>
                <w:rStyle w:val="21"/>
                <w:rFonts w:hint="eastAsia" w:ascii="仿宋_GB2312" w:hAnsi="仿宋_GB2312" w:eastAsia="仿宋_GB2312" w:cs="仿宋_GB2312"/>
                <w:color w:val="auto"/>
                <w:lang w:val="en-US" w:eastAsia="zh-CN" w:bidi="ar"/>
              </w:rPr>
              <w:t>5、对外地经营者在本地投资或设立的分支机构进行歧视性待遇</w:t>
            </w:r>
          </w:p>
        </w:tc>
        <w:tc>
          <w:tcPr>
            <w:tcW w:w="1053"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both"/>
              <w:rPr>
                <w:rFonts w:hint="eastAsia" w:ascii="仿宋_GB2312" w:hAnsi="仿宋_GB2312" w:eastAsia="仿宋_GB2312" w:cs="仿宋_GB2312"/>
                <w:i w:val="0"/>
                <w:iCs w:val="0"/>
                <w:color w:val="auto"/>
                <w:sz w:val="24"/>
                <w:szCs w:val="24"/>
                <w:u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97" w:hRule="exact"/>
        </w:trPr>
        <w:tc>
          <w:tcPr>
            <w:tcW w:w="7747" w:type="dxa"/>
            <w:gridSpan w:val="4"/>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仿宋_GB2312" w:hAnsi="仿宋_GB2312" w:eastAsia="仿宋_GB2312" w:cs="仿宋_GB2312"/>
                <w:i w:val="0"/>
                <w:iCs w:val="0"/>
                <w:color w:val="auto"/>
                <w:sz w:val="24"/>
                <w:szCs w:val="24"/>
                <w:u w:val="none"/>
              </w:rPr>
            </w:pPr>
            <w:r>
              <w:rPr>
                <w:rStyle w:val="21"/>
                <w:rFonts w:hint="eastAsia" w:ascii="仿宋_GB2312" w:hAnsi="仿宋_GB2312" w:eastAsia="仿宋_GB2312" w:cs="仿宋_GB2312"/>
                <w:color w:val="auto"/>
                <w:lang w:val="en-US" w:eastAsia="zh-CN" w:bidi="ar"/>
              </w:rPr>
              <w:t>三、是否违反影响生产经营成本标准</w:t>
            </w:r>
          </w:p>
        </w:tc>
        <w:tc>
          <w:tcPr>
            <w:tcW w:w="1053" w:type="dxa"/>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仿宋_GB2312" w:hAnsi="仿宋_GB2312" w:eastAsia="仿宋_GB2312" w:cs="仿宋_GB2312"/>
                <w:i w:val="0"/>
                <w:iCs w:val="0"/>
                <w:color w:val="auto"/>
                <w:sz w:val="24"/>
                <w:szCs w:val="24"/>
                <w:u w:val="none"/>
              </w:rPr>
            </w:pPr>
            <w:r>
              <w:rPr>
                <w:rStyle w:val="21"/>
                <w:rFonts w:hint="eastAsia" w:ascii="仿宋_GB2312" w:hAnsi="仿宋_GB2312" w:eastAsia="仿宋_GB2312" w:cs="仿宋_GB2312"/>
                <w:color w:val="auto"/>
                <w:lang w:val="en-US" w:eastAsia="zh-CN" w:bidi="ar"/>
              </w:rPr>
              <w:t>是/否</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97" w:hRule="exact"/>
        </w:trPr>
        <w:tc>
          <w:tcPr>
            <w:tcW w:w="7747" w:type="dxa"/>
            <w:gridSpan w:val="4"/>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仿宋_GB2312" w:hAnsi="仿宋_GB2312" w:eastAsia="仿宋_GB2312" w:cs="仿宋_GB2312"/>
                <w:i w:val="0"/>
                <w:iCs w:val="0"/>
                <w:color w:val="auto"/>
                <w:sz w:val="24"/>
                <w:szCs w:val="24"/>
                <w:u w:val="none"/>
              </w:rPr>
            </w:pPr>
            <w:r>
              <w:rPr>
                <w:rStyle w:val="21"/>
                <w:rFonts w:hint="eastAsia" w:ascii="仿宋_GB2312" w:hAnsi="仿宋_GB2312" w:eastAsia="仿宋_GB2312" w:cs="仿宋_GB2312"/>
                <w:color w:val="auto"/>
                <w:lang w:val="en-US" w:eastAsia="zh-CN" w:bidi="ar"/>
              </w:rPr>
              <w:t>1、违法给予特定经营者优惠政策</w:t>
            </w:r>
          </w:p>
        </w:tc>
        <w:tc>
          <w:tcPr>
            <w:tcW w:w="1053"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both"/>
              <w:rPr>
                <w:rFonts w:hint="eastAsia" w:ascii="仿宋_GB2312" w:hAnsi="仿宋_GB2312" w:eastAsia="仿宋_GB2312" w:cs="仿宋_GB2312"/>
                <w:i w:val="0"/>
                <w:iCs w:val="0"/>
                <w:color w:val="auto"/>
                <w:sz w:val="24"/>
                <w:szCs w:val="24"/>
                <w:u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97" w:hRule="exact"/>
        </w:trPr>
        <w:tc>
          <w:tcPr>
            <w:tcW w:w="7747" w:type="dxa"/>
            <w:gridSpan w:val="4"/>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仿宋_GB2312" w:hAnsi="仿宋_GB2312" w:eastAsia="仿宋_GB2312" w:cs="仿宋_GB2312"/>
                <w:i w:val="0"/>
                <w:iCs w:val="0"/>
                <w:color w:val="auto"/>
                <w:sz w:val="24"/>
                <w:szCs w:val="24"/>
                <w:u w:val="none"/>
              </w:rPr>
            </w:pPr>
            <w:r>
              <w:rPr>
                <w:rStyle w:val="21"/>
                <w:rFonts w:hint="eastAsia" w:ascii="仿宋_GB2312" w:hAnsi="仿宋_GB2312" w:eastAsia="仿宋_GB2312" w:cs="仿宋_GB2312"/>
                <w:color w:val="auto"/>
                <w:lang w:val="en-US" w:eastAsia="zh-CN" w:bidi="ar"/>
              </w:rPr>
              <w:t>2、将财政支出安排与企业缴纳的税收或非税收入挂钩</w:t>
            </w:r>
          </w:p>
        </w:tc>
        <w:tc>
          <w:tcPr>
            <w:tcW w:w="1053"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both"/>
              <w:rPr>
                <w:rFonts w:hint="eastAsia" w:ascii="仿宋_GB2312" w:hAnsi="仿宋_GB2312" w:eastAsia="仿宋_GB2312" w:cs="仿宋_GB2312"/>
                <w:i w:val="0"/>
                <w:iCs w:val="0"/>
                <w:color w:val="auto"/>
                <w:sz w:val="24"/>
                <w:szCs w:val="24"/>
                <w:u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97" w:hRule="exact"/>
        </w:trPr>
        <w:tc>
          <w:tcPr>
            <w:tcW w:w="7747" w:type="dxa"/>
            <w:gridSpan w:val="4"/>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仿宋_GB2312" w:hAnsi="仿宋_GB2312" w:eastAsia="仿宋_GB2312" w:cs="仿宋_GB2312"/>
                <w:i w:val="0"/>
                <w:iCs w:val="0"/>
                <w:color w:val="auto"/>
                <w:sz w:val="24"/>
                <w:szCs w:val="24"/>
                <w:u w:val="none"/>
              </w:rPr>
            </w:pPr>
            <w:r>
              <w:rPr>
                <w:rStyle w:val="21"/>
                <w:rFonts w:hint="eastAsia" w:ascii="仿宋_GB2312" w:hAnsi="仿宋_GB2312" w:eastAsia="仿宋_GB2312" w:cs="仿宋_GB2312"/>
                <w:color w:val="auto"/>
                <w:lang w:val="en-US" w:eastAsia="zh-CN" w:bidi="ar"/>
              </w:rPr>
              <w:t>3、违法免除特定经营者需要缴纳的社会保险费用</w:t>
            </w:r>
          </w:p>
        </w:tc>
        <w:tc>
          <w:tcPr>
            <w:tcW w:w="1053"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both"/>
              <w:rPr>
                <w:rFonts w:hint="eastAsia" w:ascii="仿宋_GB2312" w:hAnsi="仿宋_GB2312" w:eastAsia="仿宋_GB2312" w:cs="仿宋_GB2312"/>
                <w:i w:val="0"/>
                <w:iCs w:val="0"/>
                <w:color w:val="auto"/>
                <w:sz w:val="24"/>
                <w:szCs w:val="24"/>
                <w:u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97" w:hRule="exact"/>
        </w:trPr>
        <w:tc>
          <w:tcPr>
            <w:tcW w:w="7747" w:type="dxa"/>
            <w:gridSpan w:val="4"/>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仿宋_GB2312" w:hAnsi="仿宋_GB2312" w:eastAsia="仿宋_GB2312" w:cs="仿宋_GB2312"/>
                <w:i w:val="0"/>
                <w:iCs w:val="0"/>
                <w:color w:val="auto"/>
                <w:sz w:val="24"/>
                <w:szCs w:val="24"/>
                <w:u w:val="none"/>
              </w:rPr>
            </w:pPr>
            <w:r>
              <w:rPr>
                <w:rStyle w:val="21"/>
                <w:rFonts w:hint="eastAsia" w:ascii="仿宋_GB2312" w:hAnsi="仿宋_GB2312" w:eastAsia="仿宋_GB2312" w:cs="仿宋_GB2312"/>
                <w:color w:val="auto"/>
                <w:lang w:val="en-US" w:eastAsia="zh-CN" w:bidi="ar"/>
              </w:rPr>
              <w:t>4、违法要求经营者提供各类保证金或扣留经营者保证金</w:t>
            </w:r>
          </w:p>
        </w:tc>
        <w:tc>
          <w:tcPr>
            <w:tcW w:w="1053"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both"/>
              <w:rPr>
                <w:rFonts w:hint="eastAsia" w:ascii="仿宋_GB2312" w:hAnsi="仿宋_GB2312" w:eastAsia="仿宋_GB2312" w:cs="仿宋_GB2312"/>
                <w:i w:val="0"/>
                <w:iCs w:val="0"/>
                <w:color w:val="auto"/>
                <w:sz w:val="24"/>
                <w:szCs w:val="24"/>
                <w:u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97" w:hRule="exact"/>
        </w:trPr>
        <w:tc>
          <w:tcPr>
            <w:tcW w:w="7747" w:type="dxa"/>
            <w:gridSpan w:val="4"/>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仿宋_GB2312" w:hAnsi="仿宋_GB2312" w:eastAsia="仿宋_GB2312" w:cs="仿宋_GB2312"/>
                <w:i w:val="0"/>
                <w:iCs w:val="0"/>
                <w:color w:val="auto"/>
                <w:sz w:val="24"/>
                <w:szCs w:val="24"/>
                <w:u w:val="none"/>
              </w:rPr>
            </w:pPr>
            <w:r>
              <w:rPr>
                <w:rStyle w:val="21"/>
                <w:rFonts w:hint="eastAsia" w:ascii="仿宋_GB2312" w:hAnsi="仿宋_GB2312" w:eastAsia="仿宋_GB2312" w:cs="仿宋_GB2312"/>
                <w:color w:val="auto"/>
                <w:lang w:val="en-US" w:eastAsia="zh-CN" w:bidi="ar"/>
              </w:rPr>
              <w:t>四、是否违反影响生产经营行为标准</w:t>
            </w:r>
          </w:p>
        </w:tc>
        <w:tc>
          <w:tcPr>
            <w:tcW w:w="1053" w:type="dxa"/>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仿宋_GB2312" w:hAnsi="仿宋_GB2312" w:eastAsia="仿宋_GB2312" w:cs="仿宋_GB2312"/>
                <w:i w:val="0"/>
                <w:iCs w:val="0"/>
                <w:color w:val="auto"/>
                <w:sz w:val="24"/>
                <w:szCs w:val="24"/>
                <w:u w:val="none"/>
              </w:rPr>
            </w:pPr>
            <w:r>
              <w:rPr>
                <w:rStyle w:val="21"/>
                <w:rFonts w:hint="eastAsia" w:ascii="仿宋_GB2312" w:hAnsi="仿宋_GB2312" w:eastAsia="仿宋_GB2312" w:cs="仿宋_GB2312"/>
                <w:color w:val="auto"/>
                <w:lang w:val="en-US" w:eastAsia="zh-CN" w:bidi="ar"/>
              </w:rPr>
              <w:t>是/否</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97" w:hRule="exact"/>
        </w:trPr>
        <w:tc>
          <w:tcPr>
            <w:tcW w:w="7747" w:type="dxa"/>
            <w:gridSpan w:val="4"/>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仿宋_GB2312" w:hAnsi="仿宋_GB2312" w:eastAsia="仿宋_GB2312" w:cs="仿宋_GB2312"/>
                <w:i w:val="0"/>
                <w:iCs w:val="0"/>
                <w:color w:val="auto"/>
                <w:sz w:val="24"/>
                <w:szCs w:val="24"/>
                <w:u w:val="none"/>
              </w:rPr>
            </w:pPr>
            <w:r>
              <w:rPr>
                <w:rStyle w:val="21"/>
                <w:rFonts w:hint="eastAsia" w:ascii="仿宋_GB2312" w:hAnsi="仿宋_GB2312" w:eastAsia="仿宋_GB2312" w:cs="仿宋_GB2312"/>
                <w:color w:val="auto"/>
                <w:lang w:val="en-US" w:eastAsia="zh-CN" w:bidi="ar"/>
              </w:rPr>
              <w:t>1、强制经营者从事《反垄断法》规定的垄断行为</w:t>
            </w:r>
          </w:p>
        </w:tc>
        <w:tc>
          <w:tcPr>
            <w:tcW w:w="1053"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both"/>
              <w:rPr>
                <w:rFonts w:hint="eastAsia" w:ascii="仿宋_GB2312" w:hAnsi="仿宋_GB2312" w:eastAsia="仿宋_GB2312" w:cs="仿宋_GB2312"/>
                <w:i w:val="0"/>
                <w:iCs w:val="0"/>
                <w:color w:val="auto"/>
                <w:sz w:val="24"/>
                <w:szCs w:val="24"/>
                <w:u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97" w:hRule="exact"/>
        </w:trPr>
        <w:tc>
          <w:tcPr>
            <w:tcW w:w="7747" w:type="dxa"/>
            <w:gridSpan w:val="4"/>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仿宋_GB2312" w:hAnsi="仿宋_GB2312" w:eastAsia="仿宋_GB2312" w:cs="仿宋_GB2312"/>
                <w:i w:val="0"/>
                <w:iCs w:val="0"/>
                <w:color w:val="auto"/>
                <w:sz w:val="24"/>
                <w:szCs w:val="24"/>
                <w:u w:val="none"/>
              </w:rPr>
            </w:pPr>
            <w:r>
              <w:rPr>
                <w:rStyle w:val="21"/>
                <w:rFonts w:hint="eastAsia" w:ascii="仿宋_GB2312" w:hAnsi="仿宋_GB2312" w:eastAsia="仿宋_GB2312" w:cs="仿宋_GB2312"/>
                <w:color w:val="auto"/>
                <w:lang w:val="en-US" w:eastAsia="zh-CN" w:bidi="ar"/>
              </w:rPr>
              <w:t>2、违法披露或者要求经营者披露生产经营敏感信息</w:t>
            </w:r>
          </w:p>
        </w:tc>
        <w:tc>
          <w:tcPr>
            <w:tcW w:w="1053"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both"/>
              <w:rPr>
                <w:rFonts w:hint="eastAsia" w:ascii="仿宋_GB2312" w:hAnsi="仿宋_GB2312" w:eastAsia="仿宋_GB2312" w:cs="仿宋_GB2312"/>
                <w:i w:val="0"/>
                <w:iCs w:val="0"/>
                <w:color w:val="auto"/>
                <w:sz w:val="24"/>
                <w:szCs w:val="24"/>
                <w:u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97" w:hRule="exact"/>
        </w:trPr>
        <w:tc>
          <w:tcPr>
            <w:tcW w:w="7747" w:type="dxa"/>
            <w:gridSpan w:val="4"/>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仿宋_GB2312" w:hAnsi="仿宋_GB2312" w:eastAsia="仿宋_GB2312" w:cs="仿宋_GB2312"/>
                <w:i w:val="0"/>
                <w:iCs w:val="0"/>
                <w:color w:val="auto"/>
                <w:sz w:val="24"/>
                <w:szCs w:val="24"/>
                <w:u w:val="none"/>
              </w:rPr>
            </w:pPr>
            <w:r>
              <w:rPr>
                <w:rStyle w:val="21"/>
                <w:rFonts w:hint="eastAsia" w:ascii="仿宋_GB2312" w:hAnsi="仿宋_GB2312" w:eastAsia="仿宋_GB2312" w:cs="仿宋_GB2312"/>
                <w:color w:val="auto"/>
                <w:lang w:val="en-US" w:eastAsia="zh-CN" w:bidi="ar"/>
              </w:rPr>
              <w:t>3、超越定价权限进行政府定价</w:t>
            </w:r>
          </w:p>
        </w:tc>
        <w:tc>
          <w:tcPr>
            <w:tcW w:w="1053"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both"/>
              <w:rPr>
                <w:rFonts w:hint="eastAsia" w:ascii="仿宋_GB2312" w:hAnsi="仿宋_GB2312" w:eastAsia="仿宋_GB2312" w:cs="仿宋_GB2312"/>
                <w:i w:val="0"/>
                <w:iCs w:val="0"/>
                <w:color w:val="auto"/>
                <w:sz w:val="24"/>
                <w:szCs w:val="24"/>
                <w:u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97" w:hRule="exact"/>
        </w:trPr>
        <w:tc>
          <w:tcPr>
            <w:tcW w:w="7747" w:type="dxa"/>
            <w:gridSpan w:val="4"/>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仿宋_GB2312" w:hAnsi="仿宋_GB2312" w:eastAsia="仿宋_GB2312" w:cs="仿宋_GB2312"/>
                <w:i w:val="0"/>
                <w:iCs w:val="0"/>
                <w:color w:val="auto"/>
                <w:sz w:val="24"/>
                <w:szCs w:val="24"/>
                <w:u w:val="none"/>
              </w:rPr>
            </w:pPr>
            <w:r>
              <w:rPr>
                <w:rStyle w:val="21"/>
                <w:rFonts w:hint="eastAsia" w:ascii="仿宋_GB2312" w:hAnsi="仿宋_GB2312" w:eastAsia="仿宋_GB2312" w:cs="仿宋_GB2312"/>
                <w:color w:val="auto"/>
                <w:lang w:val="en-US" w:eastAsia="zh-CN" w:bidi="ar"/>
              </w:rPr>
              <w:t>五、是否违反兜底条款</w:t>
            </w:r>
          </w:p>
        </w:tc>
        <w:tc>
          <w:tcPr>
            <w:tcW w:w="1053" w:type="dxa"/>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仿宋_GB2312" w:hAnsi="仿宋_GB2312" w:eastAsia="仿宋_GB2312" w:cs="仿宋_GB2312"/>
                <w:i w:val="0"/>
                <w:iCs w:val="0"/>
                <w:color w:val="auto"/>
                <w:sz w:val="24"/>
                <w:szCs w:val="24"/>
                <w:u w:val="none"/>
              </w:rPr>
            </w:pPr>
            <w:r>
              <w:rPr>
                <w:rStyle w:val="21"/>
                <w:rFonts w:hint="eastAsia" w:ascii="仿宋_GB2312" w:hAnsi="仿宋_GB2312" w:eastAsia="仿宋_GB2312" w:cs="仿宋_GB2312"/>
                <w:color w:val="auto"/>
                <w:lang w:val="en-US" w:eastAsia="zh-CN" w:bidi="ar"/>
              </w:rPr>
              <w:t>是/否</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7" w:hRule="exact"/>
        </w:trPr>
        <w:tc>
          <w:tcPr>
            <w:tcW w:w="7747" w:type="dxa"/>
            <w:gridSpan w:val="4"/>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仿宋_GB2312" w:hAnsi="仿宋_GB2312" w:eastAsia="仿宋_GB2312" w:cs="仿宋_GB2312"/>
                <w:i w:val="0"/>
                <w:iCs w:val="0"/>
                <w:color w:val="auto"/>
                <w:sz w:val="24"/>
                <w:szCs w:val="24"/>
                <w:u w:val="none"/>
              </w:rPr>
            </w:pPr>
            <w:r>
              <w:rPr>
                <w:rStyle w:val="21"/>
                <w:rFonts w:hint="eastAsia" w:ascii="仿宋_GB2312" w:hAnsi="仿宋_GB2312" w:eastAsia="仿宋_GB2312" w:cs="仿宋_GB2312"/>
                <w:color w:val="auto"/>
                <w:lang w:val="en-US" w:eastAsia="zh-CN" w:bidi="ar"/>
              </w:rPr>
              <w:t>1、是否无法律法规依据减损市场主体合法权益或者增加其义务</w:t>
            </w:r>
          </w:p>
        </w:tc>
        <w:tc>
          <w:tcPr>
            <w:tcW w:w="1053"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both"/>
              <w:rPr>
                <w:rFonts w:hint="eastAsia" w:ascii="仿宋_GB2312" w:hAnsi="仿宋_GB2312" w:eastAsia="仿宋_GB2312" w:cs="仿宋_GB2312"/>
                <w:i w:val="0"/>
                <w:iCs w:val="0"/>
                <w:color w:val="auto"/>
                <w:sz w:val="24"/>
                <w:szCs w:val="24"/>
                <w:u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7" w:hRule="exact"/>
        </w:trPr>
        <w:tc>
          <w:tcPr>
            <w:tcW w:w="7747" w:type="dxa"/>
            <w:gridSpan w:val="4"/>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仿宋_GB2312" w:hAnsi="仿宋_GB2312" w:eastAsia="仿宋_GB2312" w:cs="仿宋_GB2312"/>
                <w:i w:val="0"/>
                <w:iCs w:val="0"/>
                <w:color w:val="auto"/>
                <w:sz w:val="24"/>
                <w:szCs w:val="24"/>
                <w:u w:val="none"/>
              </w:rPr>
            </w:pPr>
            <w:r>
              <w:rPr>
                <w:rStyle w:val="21"/>
                <w:rFonts w:hint="eastAsia" w:ascii="仿宋_GB2312" w:hAnsi="仿宋_GB2312" w:eastAsia="仿宋_GB2312" w:cs="仿宋_GB2312"/>
                <w:color w:val="auto"/>
                <w:lang w:val="en-US" w:eastAsia="zh-CN" w:bidi="ar"/>
              </w:rPr>
              <w:t>2、是否违反《反垄断法》制定含有排除竞争内容的政策措施</w:t>
            </w:r>
          </w:p>
        </w:tc>
        <w:tc>
          <w:tcPr>
            <w:tcW w:w="1053"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both"/>
              <w:rPr>
                <w:rFonts w:hint="eastAsia" w:ascii="仿宋_GB2312" w:hAnsi="仿宋_GB2312" w:eastAsia="仿宋_GB2312" w:cs="仿宋_GB2312"/>
                <w:i w:val="0"/>
                <w:iCs w:val="0"/>
                <w:color w:val="auto"/>
                <w:sz w:val="24"/>
                <w:szCs w:val="24"/>
                <w:u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7" w:hRule="exact"/>
        </w:trPr>
        <w:tc>
          <w:tcPr>
            <w:tcW w:w="7747" w:type="dxa"/>
            <w:gridSpan w:val="4"/>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仿宋_GB2312" w:hAnsi="仿宋_GB2312" w:eastAsia="仿宋_GB2312" w:cs="仿宋_GB2312"/>
                <w:i w:val="0"/>
                <w:iCs w:val="0"/>
                <w:color w:val="auto"/>
                <w:sz w:val="24"/>
                <w:szCs w:val="24"/>
                <w:u w:val="none"/>
              </w:rPr>
            </w:pPr>
            <w:r>
              <w:rPr>
                <w:rStyle w:val="21"/>
                <w:rFonts w:hint="eastAsia" w:ascii="仿宋_GB2312" w:hAnsi="仿宋_GB2312" w:eastAsia="仿宋_GB2312" w:cs="仿宋_GB2312"/>
                <w:color w:val="auto"/>
                <w:lang w:val="en-US" w:eastAsia="zh-CN" w:bidi="ar"/>
              </w:rPr>
              <w:t>六、是否适用例外规定</w:t>
            </w:r>
          </w:p>
        </w:tc>
        <w:tc>
          <w:tcPr>
            <w:tcW w:w="1053" w:type="dxa"/>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仿宋_GB2312" w:hAnsi="仿宋_GB2312" w:eastAsia="仿宋_GB2312" w:cs="仿宋_GB2312"/>
                <w:i w:val="0"/>
                <w:iCs w:val="0"/>
                <w:color w:val="auto"/>
                <w:sz w:val="24"/>
                <w:szCs w:val="24"/>
                <w:u w:val="none"/>
              </w:rPr>
            </w:pPr>
            <w:r>
              <w:rPr>
                <w:rStyle w:val="21"/>
                <w:rFonts w:hint="eastAsia" w:ascii="仿宋_GB2312" w:hAnsi="仿宋_GB2312" w:eastAsia="仿宋_GB2312" w:cs="仿宋_GB2312"/>
                <w:color w:val="auto"/>
                <w:lang w:val="en-US" w:eastAsia="zh-CN" w:bidi="ar"/>
              </w:rPr>
              <w:t>是/否</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7" w:hRule="exact"/>
        </w:trPr>
        <w:tc>
          <w:tcPr>
            <w:tcW w:w="7747" w:type="dxa"/>
            <w:gridSpan w:val="4"/>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仿宋_GB2312" w:hAnsi="仿宋_GB2312" w:eastAsia="仿宋_GB2312" w:cs="仿宋_GB2312"/>
                <w:i w:val="0"/>
                <w:iCs w:val="0"/>
                <w:color w:val="auto"/>
                <w:sz w:val="24"/>
                <w:szCs w:val="24"/>
                <w:u w:val="none"/>
              </w:rPr>
            </w:pPr>
            <w:r>
              <w:rPr>
                <w:rStyle w:val="21"/>
                <w:rFonts w:hint="eastAsia" w:ascii="仿宋_GB2312" w:hAnsi="仿宋_GB2312" w:eastAsia="仿宋_GB2312" w:cs="仿宋_GB2312"/>
                <w:color w:val="auto"/>
                <w:lang w:val="en-US" w:eastAsia="zh-CN" w:bidi="ar"/>
              </w:rPr>
              <w:t>1、维护国家经济安全、文化安全或者设计国防建设</w:t>
            </w:r>
          </w:p>
        </w:tc>
        <w:tc>
          <w:tcPr>
            <w:tcW w:w="1053"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both"/>
              <w:rPr>
                <w:rFonts w:hint="eastAsia" w:ascii="仿宋_GB2312" w:hAnsi="仿宋_GB2312" w:eastAsia="仿宋_GB2312" w:cs="仿宋_GB2312"/>
                <w:i w:val="0"/>
                <w:iCs w:val="0"/>
                <w:color w:val="auto"/>
                <w:sz w:val="24"/>
                <w:szCs w:val="24"/>
                <w:u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7" w:hRule="exact"/>
        </w:trPr>
        <w:tc>
          <w:tcPr>
            <w:tcW w:w="7747" w:type="dxa"/>
            <w:gridSpan w:val="4"/>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仿宋_GB2312" w:hAnsi="仿宋_GB2312" w:eastAsia="仿宋_GB2312" w:cs="仿宋_GB2312"/>
                <w:i w:val="0"/>
                <w:iCs w:val="0"/>
                <w:color w:val="auto"/>
                <w:sz w:val="24"/>
                <w:szCs w:val="24"/>
                <w:u w:val="none"/>
              </w:rPr>
            </w:pPr>
            <w:r>
              <w:rPr>
                <w:rStyle w:val="21"/>
                <w:rFonts w:hint="eastAsia" w:ascii="仿宋_GB2312" w:hAnsi="仿宋_GB2312" w:eastAsia="仿宋_GB2312" w:cs="仿宋_GB2312"/>
                <w:color w:val="auto"/>
                <w:lang w:val="en-US" w:eastAsia="zh-CN" w:bidi="ar"/>
              </w:rPr>
              <w:t>2、实现扶贫开发，救灾救助等社会目的</w:t>
            </w:r>
          </w:p>
        </w:tc>
        <w:tc>
          <w:tcPr>
            <w:tcW w:w="1053"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both"/>
              <w:rPr>
                <w:rFonts w:hint="eastAsia" w:ascii="仿宋_GB2312" w:hAnsi="仿宋_GB2312" w:eastAsia="仿宋_GB2312" w:cs="仿宋_GB2312"/>
                <w:i w:val="0"/>
                <w:iCs w:val="0"/>
                <w:color w:val="auto"/>
                <w:sz w:val="24"/>
                <w:szCs w:val="24"/>
                <w:u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7" w:hRule="exact"/>
        </w:trPr>
        <w:tc>
          <w:tcPr>
            <w:tcW w:w="7747" w:type="dxa"/>
            <w:gridSpan w:val="4"/>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仿宋_GB2312" w:hAnsi="仿宋_GB2312" w:eastAsia="仿宋_GB2312" w:cs="仿宋_GB2312"/>
                <w:i w:val="0"/>
                <w:iCs w:val="0"/>
                <w:color w:val="auto"/>
                <w:sz w:val="24"/>
                <w:szCs w:val="24"/>
                <w:u w:val="none"/>
              </w:rPr>
            </w:pPr>
            <w:r>
              <w:rPr>
                <w:rStyle w:val="21"/>
                <w:rFonts w:hint="eastAsia" w:ascii="仿宋_GB2312" w:hAnsi="仿宋_GB2312" w:eastAsia="仿宋_GB2312" w:cs="仿宋_GB2312"/>
                <w:color w:val="auto"/>
                <w:lang w:val="en-US" w:eastAsia="zh-CN" w:bidi="ar"/>
              </w:rPr>
              <w:t>3、实现节约能源资源，保护生态环境的社会公益目的</w:t>
            </w:r>
          </w:p>
        </w:tc>
        <w:tc>
          <w:tcPr>
            <w:tcW w:w="1053"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both"/>
              <w:rPr>
                <w:rFonts w:hint="eastAsia" w:ascii="仿宋_GB2312" w:hAnsi="仿宋_GB2312" w:eastAsia="仿宋_GB2312" w:cs="仿宋_GB2312"/>
                <w:i w:val="0"/>
                <w:iCs w:val="0"/>
                <w:color w:val="auto"/>
                <w:sz w:val="24"/>
                <w:szCs w:val="24"/>
                <w:u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7" w:hRule="exact"/>
        </w:trPr>
        <w:tc>
          <w:tcPr>
            <w:tcW w:w="7747" w:type="dxa"/>
            <w:gridSpan w:val="4"/>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仿宋_GB2312" w:hAnsi="仿宋_GB2312" w:eastAsia="仿宋_GB2312" w:cs="仿宋_GB2312"/>
                <w:i w:val="0"/>
                <w:iCs w:val="0"/>
                <w:color w:val="auto"/>
                <w:sz w:val="24"/>
                <w:szCs w:val="24"/>
                <w:u w:val="none"/>
              </w:rPr>
            </w:pPr>
            <w:r>
              <w:rPr>
                <w:rStyle w:val="21"/>
                <w:rFonts w:hint="eastAsia" w:ascii="仿宋_GB2312" w:hAnsi="仿宋_GB2312" w:eastAsia="仿宋_GB2312" w:cs="仿宋_GB2312"/>
                <w:color w:val="auto"/>
                <w:lang w:val="en-US" w:eastAsia="zh-CN" w:bidi="ar"/>
              </w:rPr>
              <w:t>4、法律行政法规规定的其他情况</w:t>
            </w:r>
          </w:p>
        </w:tc>
        <w:tc>
          <w:tcPr>
            <w:tcW w:w="1053" w:type="dxa"/>
            <w:tcBorders>
              <w:tl2br w:val="nil"/>
              <w:tr2bl w:val="nil"/>
            </w:tcBorders>
            <w:shd w:val="clear" w:color="auto" w:fill="auto"/>
            <w:vAlign w:val="center"/>
          </w:tcPr>
          <w:p>
            <w:pPr>
              <w:keepNext w:val="0"/>
              <w:keepLines w:val="0"/>
              <w:suppressLineNumbers w:val="0"/>
              <w:spacing w:before="0" w:beforeAutospacing="0" w:after="0" w:afterAutospacing="0"/>
              <w:ind w:left="0" w:right="0"/>
              <w:jc w:val="both"/>
              <w:rPr>
                <w:rFonts w:hint="eastAsia" w:ascii="仿宋_GB2312" w:hAnsi="仿宋_GB2312" w:eastAsia="仿宋_GB2312" w:cs="仿宋_GB2312"/>
                <w:i w:val="0"/>
                <w:iCs w:val="0"/>
                <w:color w:val="auto"/>
                <w:sz w:val="24"/>
                <w:szCs w:val="24"/>
                <w:u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99" w:hRule="exact"/>
        </w:trPr>
        <w:tc>
          <w:tcPr>
            <w:tcW w:w="1760" w:type="dxa"/>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Style w:val="21"/>
                <w:rFonts w:hint="eastAsia" w:ascii="仿宋_GB2312" w:hAnsi="仿宋_GB2312" w:eastAsia="仿宋_GB2312" w:cs="仿宋_GB2312"/>
                <w:color w:val="auto"/>
                <w:lang w:val="en-US" w:eastAsia="zh-CN" w:bidi="ar"/>
              </w:rPr>
            </w:pPr>
            <w:r>
              <w:rPr>
                <w:rStyle w:val="21"/>
                <w:rFonts w:hint="eastAsia" w:ascii="仿宋_GB2312" w:hAnsi="仿宋_GB2312" w:eastAsia="仿宋_GB2312" w:cs="仿宋_GB2312"/>
                <w:color w:val="auto"/>
                <w:lang w:val="en-US" w:eastAsia="zh-CN" w:bidi="ar"/>
              </w:rPr>
              <w:t>第</w:t>
            </w:r>
          </w:p>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24"/>
                <w:szCs w:val="24"/>
                <w:u w:val="none"/>
              </w:rPr>
            </w:pPr>
            <w:r>
              <w:rPr>
                <w:rStyle w:val="21"/>
                <w:rFonts w:hint="eastAsia" w:ascii="仿宋_GB2312" w:hAnsi="仿宋_GB2312" w:eastAsia="仿宋_GB2312" w:cs="仿宋_GB2312"/>
                <w:color w:val="auto"/>
                <w:lang w:val="en-US" w:eastAsia="zh-CN" w:bidi="ar"/>
              </w:rPr>
              <w:t>三</w:t>
            </w:r>
          </w:p>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24"/>
                <w:szCs w:val="24"/>
                <w:u w:val="none"/>
              </w:rPr>
            </w:pPr>
            <w:r>
              <w:rPr>
                <w:rStyle w:val="21"/>
                <w:rFonts w:hint="eastAsia" w:ascii="仿宋_GB2312" w:hAnsi="仿宋_GB2312" w:eastAsia="仿宋_GB2312" w:cs="仿宋_GB2312"/>
                <w:color w:val="auto"/>
                <w:lang w:val="en-US" w:eastAsia="zh-CN" w:bidi="ar"/>
              </w:rPr>
              <w:t>方</w:t>
            </w:r>
          </w:p>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24"/>
                <w:szCs w:val="24"/>
                <w:u w:val="none"/>
              </w:rPr>
            </w:pPr>
            <w:r>
              <w:rPr>
                <w:rStyle w:val="21"/>
                <w:rFonts w:hint="eastAsia" w:ascii="仿宋_GB2312" w:hAnsi="仿宋_GB2312" w:eastAsia="仿宋_GB2312" w:cs="仿宋_GB2312"/>
                <w:color w:val="auto"/>
                <w:lang w:val="en-US" w:eastAsia="zh-CN" w:bidi="ar"/>
              </w:rPr>
              <w:t>审</w:t>
            </w:r>
          </w:p>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24"/>
                <w:szCs w:val="24"/>
                <w:u w:val="none"/>
              </w:rPr>
            </w:pPr>
            <w:r>
              <w:rPr>
                <w:rStyle w:val="21"/>
                <w:rFonts w:hint="eastAsia" w:ascii="仿宋_GB2312" w:hAnsi="仿宋_GB2312" w:eastAsia="仿宋_GB2312" w:cs="仿宋_GB2312"/>
                <w:color w:val="auto"/>
                <w:lang w:val="en-US" w:eastAsia="zh-CN" w:bidi="ar"/>
              </w:rPr>
              <w:t>查</w:t>
            </w:r>
          </w:p>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24"/>
                <w:szCs w:val="24"/>
                <w:u w:val="none"/>
              </w:rPr>
            </w:pPr>
            <w:r>
              <w:rPr>
                <w:rStyle w:val="21"/>
                <w:rFonts w:hint="eastAsia" w:ascii="仿宋_GB2312" w:hAnsi="仿宋_GB2312" w:eastAsia="仿宋_GB2312" w:cs="仿宋_GB2312"/>
                <w:color w:val="auto"/>
                <w:lang w:val="en-US" w:eastAsia="zh-CN" w:bidi="ar"/>
              </w:rPr>
              <w:t>意</w:t>
            </w:r>
          </w:p>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auto"/>
                <w:sz w:val="24"/>
                <w:szCs w:val="24"/>
                <w:u w:val="none"/>
              </w:rPr>
            </w:pPr>
            <w:r>
              <w:rPr>
                <w:rStyle w:val="21"/>
                <w:rFonts w:hint="eastAsia" w:ascii="仿宋_GB2312" w:hAnsi="仿宋_GB2312" w:eastAsia="仿宋_GB2312" w:cs="仿宋_GB2312"/>
                <w:color w:val="auto"/>
                <w:lang w:val="en-US" w:eastAsia="zh-CN" w:bidi="ar"/>
              </w:rPr>
              <w:t>见</w:t>
            </w:r>
          </w:p>
        </w:tc>
        <w:tc>
          <w:tcPr>
            <w:tcW w:w="7040" w:type="dxa"/>
            <w:gridSpan w:val="4"/>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top"/>
              <w:rPr>
                <w:rFonts w:hint="eastAsia" w:ascii="仿宋_GB2312" w:hAnsi="仿宋_GB2312" w:eastAsia="仿宋_GB2312" w:cs="仿宋_GB2312"/>
                <w:i w:val="0"/>
                <w:iCs w:val="0"/>
                <w:color w:val="auto"/>
                <w:sz w:val="24"/>
                <w:szCs w:val="24"/>
                <w:u w:val="none"/>
              </w:rPr>
            </w:pPr>
            <w:r>
              <w:rPr>
                <w:rStyle w:val="21"/>
                <w:rFonts w:hint="eastAsia" w:ascii="仿宋_GB2312" w:hAnsi="仿宋_GB2312" w:eastAsia="仿宋_GB2312" w:cs="仿宋_GB2312"/>
                <w:color w:val="auto"/>
                <w:lang w:val="en-US" w:eastAsia="zh-CN" w:bidi="ar"/>
              </w:rPr>
              <w:t>人员考核制度，不涉及市场主体。</w:t>
            </w:r>
          </w:p>
        </w:tc>
      </w:tr>
    </w:tbl>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keepNext w:val="0"/>
        <w:keepLines w:val="0"/>
        <w:widowControl w:val="0"/>
        <w:suppressLineNumbers w:val="0"/>
        <w:snapToGrid/>
        <w:spacing w:beforeAutospacing="0" w:afterAutospacing="0" w:line="360" w:lineRule="auto"/>
        <w:ind w:left="0" w:leftChars="0" w:right="0" w:firstLine="0"/>
        <w:jc w:val="center"/>
        <w:outlineLvl w:val="0"/>
        <w:rPr>
          <w:rFonts w:hint="eastAsia" w:ascii="仿宋_GB2312" w:hAnsi="仿宋_GB2312" w:eastAsia="仿宋_GB2312" w:cs="仿宋_GB2312"/>
          <w:b w:val="0"/>
          <w:bCs/>
          <w:color w:val="auto"/>
          <w:spacing w:val="0"/>
          <w:position w:val="0"/>
          <w:sz w:val="24"/>
          <w:szCs w:val="24"/>
          <w:lang w:val="en-US" w:eastAsia="zh-CN"/>
        </w:rPr>
      </w:pPr>
      <w:bookmarkStart w:id="54" w:name="_Toc23061"/>
      <w:r>
        <w:rPr>
          <w:rFonts w:hint="eastAsia" w:ascii="仿宋_GB2312" w:hAnsi="仿宋_GB2312" w:eastAsia="仿宋_GB2312" w:cs="仿宋_GB2312"/>
          <w:b w:val="0"/>
          <w:bCs/>
          <w:color w:val="auto"/>
          <w:spacing w:val="0"/>
          <w:kern w:val="2"/>
          <w:position w:val="0"/>
          <w:sz w:val="28"/>
          <w:szCs w:val="30"/>
          <w:lang w:val="en-US" w:eastAsia="zh-CN" w:bidi="ar"/>
        </w:rPr>
        <w:t>公平竞争第三方审查表</w:t>
      </w:r>
      <w:bookmarkEnd w:id="54"/>
    </w:p>
    <w:tbl>
      <w:tblPr>
        <w:tblStyle w:val="1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881"/>
        <w:gridCol w:w="12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《高台县2022年深化“放管服”改革优化营商环境工作要点》的通知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高政办发[2022]31号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27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44"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无违反公平竞争审核标准的内容。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bl>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color w:val="auto"/>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widowControl w:val="0"/>
        <w:suppressLineNumbers w:val="0"/>
        <w:snapToGrid/>
        <w:spacing w:beforeAutospacing="0" w:afterAutospacing="0" w:line="360" w:lineRule="auto"/>
        <w:ind w:left="0" w:leftChars="0" w:right="0" w:firstLine="0"/>
        <w:jc w:val="center"/>
        <w:outlineLvl w:val="0"/>
        <w:rPr>
          <w:rFonts w:hint="eastAsia" w:ascii="仿宋_GB2312" w:hAnsi="仿宋_GB2312" w:eastAsia="仿宋_GB2312" w:cs="仿宋_GB2312"/>
          <w:lang w:val="en-US" w:eastAsia="zh-CN"/>
        </w:rPr>
      </w:pPr>
      <w:bookmarkStart w:id="55" w:name="_Toc33"/>
      <w:r>
        <w:rPr>
          <w:rFonts w:hint="eastAsia" w:ascii="仿宋_GB2312" w:hAnsi="仿宋_GB2312" w:eastAsia="仿宋_GB2312" w:cs="仿宋_GB2312"/>
          <w:b w:val="0"/>
          <w:bCs/>
          <w:color w:val="auto"/>
          <w:spacing w:val="0"/>
          <w:kern w:val="2"/>
          <w:position w:val="0"/>
          <w:sz w:val="28"/>
          <w:szCs w:val="30"/>
          <w:lang w:val="en-US" w:eastAsia="zh-CN" w:bidi="ar"/>
        </w:rPr>
        <w:t>公平竞争第三方审查表</w:t>
      </w:r>
      <w:bookmarkEnd w:id="55"/>
    </w:p>
    <w:tbl>
      <w:tblPr>
        <w:tblStyle w:val="13"/>
        <w:tblW w:w="904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783"/>
        <w:gridCol w:w="13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《高台县2022年促消费扩内需专项行动实施方案》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高政办发[2022]35号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3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3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3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3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3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3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3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3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3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3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3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3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3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3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3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3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3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3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3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3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3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3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3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6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3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6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3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6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3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6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3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6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3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6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3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88"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违反审查标准十一：不得违法给予特定经营者优惠政策。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bl>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keepNext w:val="0"/>
        <w:keepLines w:val="0"/>
        <w:widowControl w:val="0"/>
        <w:suppressLineNumbers w:val="0"/>
        <w:snapToGrid/>
        <w:spacing w:beforeAutospacing="0" w:afterAutospacing="0" w:line="360" w:lineRule="auto"/>
        <w:ind w:left="0" w:leftChars="0" w:right="0" w:firstLine="0"/>
        <w:jc w:val="center"/>
        <w:outlineLvl w:val="0"/>
        <w:rPr>
          <w:rFonts w:hint="eastAsia" w:ascii="仿宋_GB2312" w:hAnsi="仿宋_GB2312" w:eastAsia="仿宋_GB2312" w:cs="仿宋_GB2312"/>
          <w:b w:val="0"/>
          <w:bCs/>
          <w:color w:val="auto"/>
          <w:spacing w:val="0"/>
          <w:position w:val="0"/>
          <w:sz w:val="24"/>
          <w:szCs w:val="24"/>
          <w:lang w:val="en-US" w:eastAsia="zh-CN"/>
        </w:rPr>
      </w:pPr>
      <w:bookmarkStart w:id="56" w:name="_Toc32136"/>
      <w:r>
        <w:rPr>
          <w:rFonts w:hint="eastAsia" w:ascii="仿宋_GB2312" w:hAnsi="仿宋_GB2312" w:eastAsia="仿宋_GB2312" w:cs="仿宋_GB2312"/>
          <w:b w:val="0"/>
          <w:bCs/>
          <w:color w:val="auto"/>
          <w:spacing w:val="0"/>
          <w:kern w:val="2"/>
          <w:position w:val="0"/>
          <w:sz w:val="28"/>
          <w:szCs w:val="30"/>
          <w:lang w:val="en-US" w:eastAsia="zh-CN" w:bidi="ar"/>
        </w:rPr>
        <w:t>公平竞争第三方审查表</w:t>
      </w:r>
      <w:bookmarkEnd w:id="56"/>
    </w:p>
    <w:tbl>
      <w:tblPr>
        <w:tblStyle w:val="13"/>
        <w:tblW w:w="904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979"/>
        <w:gridCol w:w="11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《高台县支持乡村产业振兴创业担保贷款工作实施方案（试行）》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高政办发[2022]39号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90"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违反审查标准十一：不得违法给予特定经营者优惠政策，包括但不限于：第一项，没有法律法规依据或者国务院规定，给予特定经营者财政奖励或者补贴。</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bl>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color w:val="auto"/>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widowControl w:val="0"/>
        <w:suppressLineNumbers w:val="0"/>
        <w:snapToGrid/>
        <w:spacing w:beforeAutospacing="0" w:afterAutospacing="0" w:line="360" w:lineRule="auto"/>
        <w:ind w:left="0" w:leftChars="0" w:right="0" w:firstLine="0"/>
        <w:jc w:val="center"/>
        <w:outlineLvl w:val="0"/>
        <w:rPr>
          <w:rFonts w:hint="eastAsia" w:ascii="仿宋_GB2312" w:hAnsi="仿宋_GB2312" w:eastAsia="仿宋_GB2312" w:cs="仿宋_GB2312"/>
          <w:color w:val="auto"/>
          <w:lang w:val="en-US" w:eastAsia="zh-CN"/>
        </w:rPr>
      </w:pPr>
      <w:bookmarkStart w:id="57" w:name="_Toc30946"/>
      <w:r>
        <w:rPr>
          <w:rFonts w:hint="eastAsia" w:ascii="仿宋_GB2312" w:hAnsi="仿宋_GB2312" w:eastAsia="仿宋_GB2312" w:cs="仿宋_GB2312"/>
          <w:b w:val="0"/>
          <w:bCs/>
          <w:color w:val="auto"/>
          <w:spacing w:val="0"/>
          <w:kern w:val="2"/>
          <w:position w:val="0"/>
          <w:sz w:val="28"/>
          <w:szCs w:val="30"/>
          <w:lang w:val="en-US" w:eastAsia="zh-CN" w:bidi="ar"/>
        </w:rPr>
        <w:t>公平竞争第三方审查表</w:t>
      </w:r>
      <w:bookmarkEnd w:id="57"/>
    </w:p>
    <w:tbl>
      <w:tblPr>
        <w:tblStyle w:val="13"/>
        <w:tblW w:w="904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5109"/>
        <w:gridCol w:w="10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《全面加强药品监管能力建设促进医药产业高质量发展若干措施》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高政办发[2022]44号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800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04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800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04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800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04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800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04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800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04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800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04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800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04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800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04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800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04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800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04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800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04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800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04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800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04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800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04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800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04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800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04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800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04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800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04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800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04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800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04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800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04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800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04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800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04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800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04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800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04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800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04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800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04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800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04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800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04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3"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不违反公平竞争审查标准。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bl>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keepNext w:val="0"/>
        <w:keepLines w:val="0"/>
        <w:widowControl w:val="0"/>
        <w:suppressLineNumbers w:val="0"/>
        <w:snapToGrid/>
        <w:spacing w:beforeAutospacing="0" w:afterAutospacing="0" w:line="360" w:lineRule="auto"/>
        <w:ind w:left="0" w:leftChars="0" w:right="0" w:firstLine="0"/>
        <w:jc w:val="center"/>
        <w:outlineLvl w:val="0"/>
        <w:rPr>
          <w:rFonts w:hint="eastAsia" w:ascii="仿宋_GB2312" w:hAnsi="仿宋_GB2312" w:eastAsia="仿宋_GB2312" w:cs="仿宋_GB2312"/>
          <w:b w:val="0"/>
          <w:bCs/>
          <w:color w:val="auto"/>
          <w:spacing w:val="0"/>
          <w:position w:val="0"/>
          <w:sz w:val="24"/>
          <w:szCs w:val="24"/>
          <w:lang w:val="en-US" w:eastAsia="zh-CN"/>
        </w:rPr>
      </w:pPr>
      <w:bookmarkStart w:id="58" w:name="_Toc9620"/>
      <w:r>
        <w:rPr>
          <w:rFonts w:hint="eastAsia" w:ascii="仿宋_GB2312" w:hAnsi="仿宋_GB2312" w:eastAsia="仿宋_GB2312" w:cs="仿宋_GB2312"/>
          <w:b w:val="0"/>
          <w:bCs/>
          <w:color w:val="auto"/>
          <w:spacing w:val="0"/>
          <w:kern w:val="2"/>
          <w:position w:val="0"/>
          <w:sz w:val="28"/>
          <w:szCs w:val="30"/>
          <w:lang w:val="en-US" w:eastAsia="zh-CN" w:bidi="ar"/>
        </w:rPr>
        <w:t>公平竞争第三方审查表</w:t>
      </w:r>
      <w:bookmarkEnd w:id="58"/>
    </w:p>
    <w:tbl>
      <w:tblPr>
        <w:tblStyle w:val="13"/>
        <w:tblpPr w:leftFromText="180" w:rightFromText="180" w:vertAnchor="text" w:horzAnchor="page" w:tblpX="1577" w:tblpY="267"/>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778"/>
        <w:gridCol w:w="13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《高台县2022年制种大县奖励资金项目实施方案》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高政发[2022]45号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37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37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37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37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37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37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37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37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37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37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37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37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37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37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37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37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37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37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37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37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37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37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37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37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37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37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37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6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37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6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37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50"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违反审查标准十一：不得违法给予特定经营者优惠政策，包括但不限于：1、没有法律法规依据或者国务院规定，给予特定经营者财政奖励和补贴。</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bl>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keepNext w:val="0"/>
        <w:keepLines w:val="0"/>
        <w:widowControl w:val="0"/>
        <w:suppressLineNumbers w:val="0"/>
        <w:snapToGrid/>
        <w:spacing w:beforeAutospacing="0" w:afterAutospacing="0" w:line="360" w:lineRule="auto"/>
        <w:ind w:left="0" w:leftChars="0" w:right="0" w:firstLine="0"/>
        <w:jc w:val="center"/>
        <w:outlineLvl w:val="0"/>
        <w:rPr>
          <w:rFonts w:hint="eastAsia" w:ascii="仿宋_GB2312" w:hAnsi="仿宋_GB2312" w:eastAsia="仿宋_GB2312" w:cs="仿宋_GB2312"/>
          <w:b w:val="0"/>
          <w:bCs/>
          <w:color w:val="auto"/>
          <w:spacing w:val="0"/>
          <w:position w:val="0"/>
          <w:sz w:val="24"/>
          <w:szCs w:val="24"/>
          <w:lang w:val="en-US" w:eastAsia="zh-CN"/>
        </w:rPr>
      </w:pPr>
      <w:bookmarkStart w:id="59" w:name="_Toc5868"/>
      <w:r>
        <w:rPr>
          <w:rFonts w:hint="eastAsia" w:ascii="仿宋_GB2312" w:hAnsi="仿宋_GB2312" w:eastAsia="仿宋_GB2312" w:cs="仿宋_GB2312"/>
          <w:b w:val="0"/>
          <w:bCs/>
          <w:color w:val="auto"/>
          <w:spacing w:val="0"/>
          <w:kern w:val="2"/>
          <w:position w:val="0"/>
          <w:sz w:val="28"/>
          <w:szCs w:val="30"/>
          <w:lang w:val="en-US" w:eastAsia="zh-CN" w:bidi="ar"/>
        </w:rPr>
        <w:t>公平竞争第三方审查表</w:t>
      </w:r>
      <w:bookmarkEnd w:id="59"/>
    </w:p>
    <w:tbl>
      <w:tblPr>
        <w:tblStyle w:val="1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913"/>
        <w:gridCol w:w="123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46"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《关于建立贯彻落实稳住经济一揽子政策措施考核调度工作机制的通知》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高政办发[2022]54号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23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29"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内部管理性文件，不属于公平竞争审查范围。</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bl>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color w:val="auto"/>
          <w:lang w:val="en-US" w:eastAsia="zh-CN"/>
        </w:rPr>
      </w:pPr>
    </w:p>
    <w:p>
      <w:pPr>
        <w:keepNext w:val="0"/>
        <w:keepLines w:val="0"/>
        <w:widowControl w:val="0"/>
        <w:suppressLineNumbers w:val="0"/>
        <w:snapToGrid/>
        <w:spacing w:beforeAutospacing="0" w:afterAutospacing="0" w:line="360" w:lineRule="auto"/>
        <w:ind w:left="0" w:leftChars="0" w:right="0" w:firstLine="0"/>
        <w:jc w:val="center"/>
        <w:outlineLvl w:val="0"/>
        <w:rPr>
          <w:rFonts w:hint="eastAsia" w:ascii="仿宋_GB2312" w:hAnsi="仿宋_GB2312" w:eastAsia="仿宋_GB2312" w:cs="仿宋_GB2312"/>
          <w:b w:val="0"/>
          <w:bCs/>
          <w:color w:val="auto"/>
          <w:spacing w:val="0"/>
          <w:position w:val="0"/>
          <w:sz w:val="24"/>
          <w:szCs w:val="24"/>
          <w:lang w:val="en-US" w:eastAsia="zh-CN"/>
        </w:rPr>
      </w:pPr>
      <w:bookmarkStart w:id="60" w:name="_Toc8591"/>
      <w:r>
        <w:rPr>
          <w:rFonts w:hint="eastAsia" w:ascii="仿宋_GB2312" w:hAnsi="仿宋_GB2312" w:eastAsia="仿宋_GB2312" w:cs="仿宋_GB2312"/>
          <w:b w:val="0"/>
          <w:bCs/>
          <w:color w:val="auto"/>
          <w:spacing w:val="0"/>
          <w:kern w:val="2"/>
          <w:position w:val="0"/>
          <w:sz w:val="28"/>
          <w:szCs w:val="30"/>
          <w:lang w:val="en-US" w:eastAsia="zh-CN" w:bidi="ar"/>
        </w:rPr>
        <w:t>公平竞争第三方审查表</w:t>
      </w:r>
      <w:bookmarkEnd w:id="60"/>
    </w:p>
    <w:tbl>
      <w:tblPr>
        <w:tblStyle w:val="13"/>
        <w:tblW w:w="904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816"/>
        <w:gridCol w:w="13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《高台县高标准农田建设规划（2021-2030年）》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高政发[2022]70号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33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733"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不涉及市场主体经济活动。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bl>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color w:val="auto"/>
          <w:lang w:val="en-US" w:eastAsia="zh-CN"/>
        </w:rPr>
      </w:pPr>
    </w:p>
    <w:p>
      <w:pPr>
        <w:keepNext w:val="0"/>
        <w:keepLines w:val="0"/>
        <w:widowControl w:val="0"/>
        <w:suppressLineNumbers w:val="0"/>
        <w:snapToGrid/>
        <w:spacing w:beforeAutospacing="0" w:afterAutospacing="0" w:line="360" w:lineRule="auto"/>
        <w:ind w:left="0" w:leftChars="0" w:right="0" w:firstLine="0"/>
        <w:jc w:val="center"/>
        <w:outlineLvl w:val="0"/>
        <w:rPr>
          <w:rFonts w:hint="eastAsia" w:ascii="仿宋_GB2312" w:hAnsi="仿宋_GB2312" w:eastAsia="仿宋_GB2312" w:cs="仿宋_GB2312"/>
          <w:b w:val="0"/>
          <w:bCs/>
          <w:color w:val="auto"/>
          <w:spacing w:val="0"/>
          <w:position w:val="0"/>
          <w:sz w:val="24"/>
          <w:szCs w:val="24"/>
          <w:lang w:val="en-US" w:eastAsia="zh-CN"/>
        </w:rPr>
      </w:pPr>
      <w:bookmarkStart w:id="61" w:name="_Toc22229"/>
      <w:r>
        <w:rPr>
          <w:rFonts w:hint="eastAsia" w:ascii="仿宋_GB2312" w:hAnsi="仿宋_GB2312" w:eastAsia="仿宋_GB2312" w:cs="仿宋_GB2312"/>
          <w:b w:val="0"/>
          <w:bCs/>
          <w:color w:val="auto"/>
          <w:spacing w:val="0"/>
          <w:kern w:val="2"/>
          <w:position w:val="0"/>
          <w:sz w:val="28"/>
          <w:szCs w:val="30"/>
          <w:lang w:val="en-US" w:eastAsia="zh-CN" w:bidi="ar"/>
        </w:rPr>
        <w:t>公平竞争第三方审查表</w:t>
      </w:r>
      <w:bookmarkEnd w:id="61"/>
    </w:p>
    <w:tbl>
      <w:tblPr>
        <w:tblStyle w:val="1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979"/>
        <w:gridCol w:w="11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《高台县农村饮用水供水工程维修基金管理办法》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高政办发[2022]85号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17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17"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无违反公平竞争审核标准的内容。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bl>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keepNext w:val="0"/>
        <w:keepLines w:val="0"/>
        <w:widowControl w:val="0"/>
        <w:suppressLineNumbers w:val="0"/>
        <w:snapToGrid/>
        <w:spacing w:beforeAutospacing="0" w:afterAutospacing="0" w:line="360" w:lineRule="auto"/>
        <w:ind w:left="0" w:leftChars="0" w:right="0" w:firstLine="0"/>
        <w:jc w:val="center"/>
        <w:outlineLvl w:val="0"/>
        <w:rPr>
          <w:rFonts w:hint="eastAsia" w:ascii="仿宋_GB2312" w:hAnsi="仿宋_GB2312" w:eastAsia="仿宋_GB2312" w:cs="仿宋_GB2312"/>
          <w:color w:val="auto"/>
          <w:lang w:val="en-US" w:eastAsia="zh-CN"/>
        </w:rPr>
      </w:pPr>
      <w:bookmarkStart w:id="62" w:name="_Toc9186"/>
      <w:r>
        <w:rPr>
          <w:rFonts w:hint="eastAsia" w:ascii="仿宋_GB2312" w:hAnsi="仿宋_GB2312" w:eastAsia="仿宋_GB2312" w:cs="仿宋_GB2312"/>
          <w:b w:val="0"/>
          <w:bCs/>
          <w:color w:val="auto"/>
          <w:spacing w:val="0"/>
          <w:kern w:val="2"/>
          <w:position w:val="0"/>
          <w:sz w:val="28"/>
          <w:szCs w:val="30"/>
          <w:lang w:val="en-US" w:eastAsia="zh-CN" w:bidi="ar"/>
        </w:rPr>
        <w:t>公平竞争第三方审查表</w:t>
      </w:r>
      <w:bookmarkEnd w:id="62"/>
    </w:p>
    <w:tbl>
      <w:tblPr>
        <w:tblStyle w:val="13"/>
        <w:tblpPr w:leftFromText="180" w:rightFromText="180" w:vertAnchor="text" w:horzAnchor="page" w:tblpX="1588" w:tblpY="277"/>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959"/>
        <w:gridCol w:w="11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《高台县重点项目前期费管理办法（试行）》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高政办发[2022]94号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高台县人民政府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exact"/>
        </w:trPr>
        <w:tc>
          <w:tcPr>
            <w:tcW w:w="78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1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1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1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1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exact"/>
        </w:trPr>
        <w:tc>
          <w:tcPr>
            <w:tcW w:w="78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1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1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1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1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1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1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1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1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1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1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exact"/>
        </w:trPr>
        <w:tc>
          <w:tcPr>
            <w:tcW w:w="78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1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510" w:hRule="exact"/>
        </w:trPr>
        <w:tc>
          <w:tcPr>
            <w:tcW w:w="78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1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1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1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8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1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0" w:hRule="exact"/>
        </w:trPr>
        <w:tc>
          <w:tcPr>
            <w:tcW w:w="78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1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0" w:hRule="exact"/>
        </w:trPr>
        <w:tc>
          <w:tcPr>
            <w:tcW w:w="78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1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0" w:hRule="exact"/>
        </w:trPr>
        <w:tc>
          <w:tcPr>
            <w:tcW w:w="78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1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0" w:hRule="exact"/>
        </w:trPr>
        <w:tc>
          <w:tcPr>
            <w:tcW w:w="78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1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1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0" w:hRule="exact"/>
        </w:trPr>
        <w:tc>
          <w:tcPr>
            <w:tcW w:w="78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1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1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1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8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1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0" w:hRule="exact"/>
        </w:trPr>
        <w:tc>
          <w:tcPr>
            <w:tcW w:w="78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19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533"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无违反公平竞争审核标准的内容。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bl>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suppressLineNumbers w:val="0"/>
        <w:kinsoku/>
        <w:wordWrap/>
        <w:overflowPunct/>
        <w:topLinePunct/>
        <w:autoSpaceDE/>
        <w:autoSpaceDN/>
        <w:bidi w:val="0"/>
        <w:spacing w:beforeAutospacing="0" w:afterAutospacing="0" w:line="540" w:lineRule="exact"/>
        <w:ind w:left="0" w:leftChars="0" w:right="0" w:firstLine="600" w:firstLineChars="200"/>
        <w:jc w:val="both"/>
        <w:rPr>
          <w:rFonts w:hint="eastAsia" w:ascii="仿宋_GB2312" w:hAnsi="仿宋_GB2312" w:eastAsia="仿宋_GB2312" w:cs="仿宋_GB2312"/>
          <w:b w:val="0"/>
          <w:bCs/>
          <w:color w:val="auto"/>
          <w:spacing w:val="0"/>
          <w:w w:val="100"/>
          <w:kern w:val="2"/>
          <w:position w:val="0"/>
          <w:sz w:val="30"/>
          <w:szCs w:val="30"/>
        </w:rPr>
      </w:pPr>
    </w:p>
    <w:p>
      <w:pPr>
        <w:pStyle w:val="12"/>
        <w:keepNext w:val="0"/>
        <w:keepLines w:val="0"/>
        <w:pageBreakBefore w:val="0"/>
        <w:widowControl/>
        <w:suppressLineNumbers w:val="0"/>
        <w:kinsoku/>
        <w:wordWrap/>
        <w:overflowPunct/>
        <w:topLinePunct/>
        <w:autoSpaceDE/>
        <w:autoSpaceDN/>
        <w:bidi w:val="0"/>
        <w:spacing w:before="0" w:beforeAutospacing="0" w:after="0" w:afterAutospacing="0" w:line="540" w:lineRule="exact"/>
        <w:ind w:left="0" w:leftChars="0" w:right="0" w:firstLine="600" w:firstLineChars="200"/>
        <w:jc w:val="both"/>
        <w:rPr>
          <w:rFonts w:hint="eastAsia" w:ascii="仿宋_GB2312" w:hAnsi="仿宋_GB2312" w:eastAsia="仿宋_GB2312" w:cs="仿宋_GB2312"/>
          <w:b w:val="0"/>
          <w:bCs/>
          <w:color w:val="auto"/>
          <w:spacing w:val="0"/>
          <w:w w:val="100"/>
          <w:position w:val="0"/>
          <w:sz w:val="30"/>
          <w:szCs w:val="30"/>
          <w:lang w:val="en-US" w:eastAsia="zh-CN"/>
        </w:rPr>
      </w:pPr>
    </w:p>
    <w:sectPr>
      <w:pgSz w:w="11906" w:h="16838"/>
      <w:pgMar w:top="2098" w:right="1474" w:bottom="1984" w:left="1587"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sz w:val="24"/>
                              <w:szCs w:val="24"/>
                            </w:rPr>
                          </w:pPr>
                          <w:r>
                            <w:rPr>
                              <w:sz w:val="24"/>
                              <w:szCs w:val="24"/>
                            </w:rPr>
                            <w:t xml:space="preserve">第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2</w:t>
                          </w:r>
                          <w:r>
                            <w:rPr>
                              <w:sz w:val="24"/>
                              <w:szCs w:val="24"/>
                            </w:rPr>
                            <w:fldChar w:fldCharType="end"/>
                          </w:r>
                          <w:r>
                            <w:rPr>
                              <w:sz w:val="24"/>
                              <w:szCs w:val="24"/>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0"/>
                      <w:rPr>
                        <w:sz w:val="24"/>
                        <w:szCs w:val="24"/>
                      </w:rPr>
                    </w:pPr>
                    <w:r>
                      <w:rPr>
                        <w:sz w:val="24"/>
                        <w:szCs w:val="24"/>
                      </w:rPr>
                      <w:t xml:space="preserve">第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2</w:t>
                    </w:r>
                    <w:r>
                      <w:rPr>
                        <w:sz w:val="24"/>
                        <w:szCs w:val="24"/>
                      </w:rPr>
                      <w:fldChar w:fldCharType="end"/>
                    </w:r>
                    <w:r>
                      <w:rPr>
                        <w:sz w:val="24"/>
                        <w:szCs w:val="24"/>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B52417"/>
    <w:multiLevelType w:val="singleLevel"/>
    <w:tmpl w:val="89B52417"/>
    <w:lvl w:ilvl="0" w:tentative="0">
      <w:start w:val="1"/>
      <w:numFmt w:val="decimal"/>
      <w:suff w:val="nothing"/>
      <w:lvlText w:val="%1、"/>
      <w:lvlJc w:val="left"/>
    </w:lvl>
  </w:abstractNum>
  <w:abstractNum w:abstractNumId="1">
    <w:nsid w:val="0BA13CEB"/>
    <w:multiLevelType w:val="singleLevel"/>
    <w:tmpl w:val="0BA13CEB"/>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k0YzEzYmJkODhhM2U5ZWQyNjg4MWQxMzk0NWZiZTEifQ=="/>
  </w:docVars>
  <w:rsids>
    <w:rsidRoot w:val="00000000"/>
    <w:rsid w:val="003E2FDC"/>
    <w:rsid w:val="007B4032"/>
    <w:rsid w:val="00902C2A"/>
    <w:rsid w:val="018D1195"/>
    <w:rsid w:val="02E15A9D"/>
    <w:rsid w:val="06224324"/>
    <w:rsid w:val="064A1CA8"/>
    <w:rsid w:val="090441B5"/>
    <w:rsid w:val="09840E52"/>
    <w:rsid w:val="09A414A1"/>
    <w:rsid w:val="0ADD6A6C"/>
    <w:rsid w:val="0B077F8D"/>
    <w:rsid w:val="0B6436D3"/>
    <w:rsid w:val="0FA606A3"/>
    <w:rsid w:val="0FDE5814"/>
    <w:rsid w:val="10A5521E"/>
    <w:rsid w:val="111A786D"/>
    <w:rsid w:val="120C3DCC"/>
    <w:rsid w:val="12973EC4"/>
    <w:rsid w:val="12AA6A84"/>
    <w:rsid w:val="14672E51"/>
    <w:rsid w:val="15ED08E4"/>
    <w:rsid w:val="16DB06DC"/>
    <w:rsid w:val="17073484"/>
    <w:rsid w:val="177461BE"/>
    <w:rsid w:val="178F6C56"/>
    <w:rsid w:val="17EE491A"/>
    <w:rsid w:val="1869193F"/>
    <w:rsid w:val="18E611E1"/>
    <w:rsid w:val="192E3F20"/>
    <w:rsid w:val="1A540A4D"/>
    <w:rsid w:val="1ABD41C4"/>
    <w:rsid w:val="1AE0056D"/>
    <w:rsid w:val="1BDE6C1F"/>
    <w:rsid w:val="1D2B15F3"/>
    <w:rsid w:val="1D774AFE"/>
    <w:rsid w:val="1DD560C9"/>
    <w:rsid w:val="1FABFB24"/>
    <w:rsid w:val="20EC135F"/>
    <w:rsid w:val="20EE5436"/>
    <w:rsid w:val="21997739"/>
    <w:rsid w:val="229A016C"/>
    <w:rsid w:val="22B94956"/>
    <w:rsid w:val="23FD9567"/>
    <w:rsid w:val="24A1685C"/>
    <w:rsid w:val="25395FAA"/>
    <w:rsid w:val="25632433"/>
    <w:rsid w:val="261310D6"/>
    <w:rsid w:val="294C58B8"/>
    <w:rsid w:val="29DF4157"/>
    <w:rsid w:val="29F61D3E"/>
    <w:rsid w:val="2A0006E6"/>
    <w:rsid w:val="2A2333D9"/>
    <w:rsid w:val="2A983AD2"/>
    <w:rsid w:val="2AA624F2"/>
    <w:rsid w:val="2B47050D"/>
    <w:rsid w:val="2C494F25"/>
    <w:rsid w:val="2CFA6FE6"/>
    <w:rsid w:val="2DA03BFD"/>
    <w:rsid w:val="2F6E017F"/>
    <w:rsid w:val="30E36015"/>
    <w:rsid w:val="32D3237F"/>
    <w:rsid w:val="33CD5020"/>
    <w:rsid w:val="33D64F76"/>
    <w:rsid w:val="33D95773"/>
    <w:rsid w:val="34034EE6"/>
    <w:rsid w:val="340476A0"/>
    <w:rsid w:val="374666FD"/>
    <w:rsid w:val="39A03334"/>
    <w:rsid w:val="39B37E1A"/>
    <w:rsid w:val="3A863D93"/>
    <w:rsid w:val="3AD23F69"/>
    <w:rsid w:val="3BDE829A"/>
    <w:rsid w:val="3E1619C4"/>
    <w:rsid w:val="3E374C3C"/>
    <w:rsid w:val="3E5946C8"/>
    <w:rsid w:val="3E8D1F7B"/>
    <w:rsid w:val="3EE446CB"/>
    <w:rsid w:val="3F586C97"/>
    <w:rsid w:val="3FA40412"/>
    <w:rsid w:val="409036FF"/>
    <w:rsid w:val="41AA2761"/>
    <w:rsid w:val="423F2C3A"/>
    <w:rsid w:val="423F5F51"/>
    <w:rsid w:val="426E3E72"/>
    <w:rsid w:val="42EA799C"/>
    <w:rsid w:val="43E43157"/>
    <w:rsid w:val="45CA3DA7"/>
    <w:rsid w:val="46F1551A"/>
    <w:rsid w:val="47864444"/>
    <w:rsid w:val="47DD2740"/>
    <w:rsid w:val="48C308FD"/>
    <w:rsid w:val="48DF45C7"/>
    <w:rsid w:val="4AE2045F"/>
    <w:rsid w:val="4B23513C"/>
    <w:rsid w:val="4B23741D"/>
    <w:rsid w:val="4B6D5995"/>
    <w:rsid w:val="4C355414"/>
    <w:rsid w:val="4C4F261E"/>
    <w:rsid w:val="4E315603"/>
    <w:rsid w:val="4E824F2D"/>
    <w:rsid w:val="50A16C31"/>
    <w:rsid w:val="515834F6"/>
    <w:rsid w:val="516F72BF"/>
    <w:rsid w:val="52ED5A0A"/>
    <w:rsid w:val="53A014CA"/>
    <w:rsid w:val="54041443"/>
    <w:rsid w:val="54111309"/>
    <w:rsid w:val="549C7B43"/>
    <w:rsid w:val="54D9161F"/>
    <w:rsid w:val="55266506"/>
    <w:rsid w:val="56AA0660"/>
    <w:rsid w:val="57581692"/>
    <w:rsid w:val="57D936E4"/>
    <w:rsid w:val="58AE2181"/>
    <w:rsid w:val="5A380AE9"/>
    <w:rsid w:val="5B310488"/>
    <w:rsid w:val="5C606F9A"/>
    <w:rsid w:val="5D755C5D"/>
    <w:rsid w:val="5F341C97"/>
    <w:rsid w:val="5FCF2D7A"/>
    <w:rsid w:val="60457FAD"/>
    <w:rsid w:val="61B03707"/>
    <w:rsid w:val="61EF7183"/>
    <w:rsid w:val="62893FA7"/>
    <w:rsid w:val="63536A40"/>
    <w:rsid w:val="63E71E2E"/>
    <w:rsid w:val="658D448B"/>
    <w:rsid w:val="65EE416E"/>
    <w:rsid w:val="662C67C6"/>
    <w:rsid w:val="68282249"/>
    <w:rsid w:val="688E1C4A"/>
    <w:rsid w:val="68A535F6"/>
    <w:rsid w:val="68EB57D2"/>
    <w:rsid w:val="68EF2B18"/>
    <w:rsid w:val="694704D9"/>
    <w:rsid w:val="6A9EC428"/>
    <w:rsid w:val="6AD57242"/>
    <w:rsid w:val="6BFFC368"/>
    <w:rsid w:val="6D520BC9"/>
    <w:rsid w:val="6DA0453F"/>
    <w:rsid w:val="6F791FDF"/>
    <w:rsid w:val="6FA47237"/>
    <w:rsid w:val="6FBD1A6C"/>
    <w:rsid w:val="6FF7A3B9"/>
    <w:rsid w:val="7099295C"/>
    <w:rsid w:val="710664CC"/>
    <w:rsid w:val="728C3C55"/>
    <w:rsid w:val="7367F7A6"/>
    <w:rsid w:val="75DE03EB"/>
    <w:rsid w:val="76BB24DB"/>
    <w:rsid w:val="78B161EF"/>
    <w:rsid w:val="78B35B5F"/>
    <w:rsid w:val="78F80A46"/>
    <w:rsid w:val="79254A1D"/>
    <w:rsid w:val="79A52C61"/>
    <w:rsid w:val="79AB2CDA"/>
    <w:rsid w:val="79FCAAB1"/>
    <w:rsid w:val="79FF4B87"/>
    <w:rsid w:val="7B696D53"/>
    <w:rsid w:val="7B7A3F3C"/>
    <w:rsid w:val="7BEF6F71"/>
    <w:rsid w:val="7BFFF992"/>
    <w:rsid w:val="7C242A4B"/>
    <w:rsid w:val="7C3F4F80"/>
    <w:rsid w:val="7CCA3477"/>
    <w:rsid w:val="7D740395"/>
    <w:rsid w:val="7F7BCA08"/>
    <w:rsid w:val="7FBAA7DA"/>
    <w:rsid w:val="7FD00FD7"/>
    <w:rsid w:val="AD8DA28C"/>
    <w:rsid w:val="AF7AC8D6"/>
    <w:rsid w:val="DBE71AE8"/>
    <w:rsid w:val="E7F73AF3"/>
    <w:rsid w:val="EEEE7E52"/>
    <w:rsid w:val="EFFF6DD3"/>
    <w:rsid w:val="F8FB213E"/>
    <w:rsid w:val="FBFF57E1"/>
    <w:rsid w:val="FDCF8B28"/>
    <w:rsid w:val="FDDF4B68"/>
    <w:rsid w:val="FFEB1D43"/>
    <w:rsid w:val="FFEF26B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5">
    <w:name w:val="Default Paragraph Font"/>
    <w:semiHidden/>
    <w:qFormat/>
    <w:uiPriority w:val="0"/>
  </w:style>
  <w:style w:type="table" w:default="1" w:styleId="13">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2">
    <w:name w:val="index 6"/>
    <w:basedOn w:val="1"/>
    <w:next w:val="1"/>
    <w:qFormat/>
    <w:uiPriority w:val="0"/>
    <w:pPr>
      <w:keepNext w:val="0"/>
      <w:keepLines w:val="0"/>
      <w:widowControl w:val="0"/>
      <w:suppressLineNumbers w:val="0"/>
      <w:spacing w:before="0" w:beforeAutospacing="0" w:after="0" w:afterAutospacing="0"/>
      <w:ind w:left="0" w:right="0"/>
      <w:jc w:val="both"/>
    </w:pPr>
    <w:rPr>
      <w:rFonts w:hint="default" w:ascii="仿宋_GB2312" w:hAnsi="宋体" w:eastAsia="仿宋_GB2312" w:cs="黑体"/>
      <w:color w:val="000000"/>
      <w:kern w:val="2"/>
      <w:sz w:val="32"/>
      <w:szCs w:val="32"/>
      <w:lang w:val="en-US" w:eastAsia="zh-CN" w:bidi="ar"/>
    </w:rPr>
  </w:style>
  <w:style w:type="paragraph" w:styleId="5">
    <w:name w:val="Normal Indent"/>
    <w:basedOn w:val="1"/>
    <w:qFormat/>
    <w:uiPriority w:val="0"/>
    <w:pPr>
      <w:keepNext w:val="0"/>
      <w:keepLines w:val="0"/>
      <w:widowControl w:val="0"/>
      <w:suppressLineNumbers w:val="0"/>
      <w:spacing w:before="0" w:beforeAutospacing="0" w:after="0" w:afterAutospacing="0"/>
      <w:ind w:left="0" w:right="0" w:firstLine="420"/>
      <w:jc w:val="both"/>
    </w:pPr>
    <w:rPr>
      <w:rFonts w:hint="default" w:ascii="Calibri" w:hAnsi="Calibri" w:eastAsia="宋体" w:cs="Times New Roman"/>
      <w:kern w:val="2"/>
      <w:sz w:val="21"/>
      <w:szCs w:val="21"/>
      <w:lang w:val="en-US" w:eastAsia="zh-CN" w:bidi="ar"/>
    </w:rPr>
  </w:style>
  <w:style w:type="paragraph" w:styleId="6">
    <w:name w:val="annotation text"/>
    <w:basedOn w:val="1"/>
    <w:next w:val="7"/>
    <w:qFormat/>
    <w:uiPriority w:val="0"/>
    <w:pPr>
      <w:keepNext w:val="0"/>
      <w:keepLines w:val="0"/>
      <w:widowControl w:val="0"/>
      <w:suppressLineNumbers w:val="0"/>
      <w:spacing w:before="0" w:beforeAutospacing="0" w:after="0" w:afterAutospacing="0"/>
      <w:ind w:left="0" w:right="0"/>
      <w:jc w:val="left"/>
    </w:pPr>
    <w:rPr>
      <w:rFonts w:hint="default" w:ascii="Calibri" w:hAnsi="Calibri" w:eastAsia="宋体" w:cs="Times New Roman"/>
      <w:kern w:val="2"/>
      <w:sz w:val="21"/>
      <w:szCs w:val="21"/>
      <w:lang w:val="en-US" w:eastAsia="zh-CN" w:bidi="ar"/>
    </w:rPr>
  </w:style>
  <w:style w:type="paragraph" w:styleId="7">
    <w:name w:val="Balloon Text"/>
    <w:basedOn w:val="1"/>
    <w:qFormat/>
    <w:uiPriority w:val="0"/>
    <w:rPr>
      <w:sz w:val="18"/>
    </w:rPr>
  </w:style>
  <w:style w:type="paragraph" w:styleId="8">
    <w:name w:val="Body Text"/>
    <w:basedOn w:val="1"/>
    <w:qFormat/>
    <w:uiPriority w:val="0"/>
    <w:pPr>
      <w:keepNext w:val="0"/>
      <w:keepLines w:val="0"/>
      <w:widowControl w:val="0"/>
      <w:suppressLineNumbers w:val="0"/>
      <w:ind w:left="100"/>
      <w:jc w:val="both"/>
    </w:pPr>
    <w:rPr>
      <w:rFonts w:hint="eastAsia" w:ascii="微软雅黑" w:hAnsi="微软雅黑" w:eastAsia="微软雅黑" w:cs="微软雅黑"/>
      <w:kern w:val="2"/>
      <w:sz w:val="48"/>
      <w:szCs w:val="48"/>
      <w:lang w:val="en-US" w:eastAsia="zh-CN" w:bidi="ar"/>
    </w:rPr>
  </w:style>
  <w:style w:type="paragraph" w:styleId="9">
    <w:name w:val="Body Text Indent 2"/>
    <w:basedOn w:val="1"/>
    <w:qFormat/>
    <w:uiPriority w:val="0"/>
    <w:pPr>
      <w:keepNext w:val="0"/>
      <w:keepLines w:val="0"/>
      <w:widowControl w:val="0"/>
      <w:suppressLineNumbers w:val="0"/>
      <w:spacing w:after="120" w:afterAutospacing="0" w:line="480" w:lineRule="auto"/>
      <w:ind w:left="420" w:leftChars="200"/>
      <w:jc w:val="both"/>
    </w:pPr>
    <w:rPr>
      <w:rFonts w:hint="default" w:ascii="Calibri" w:hAnsi="Calibri" w:eastAsia="宋体" w:cs="Times New Roman"/>
      <w:kern w:val="2"/>
      <w:sz w:val="21"/>
      <w:szCs w:val="21"/>
      <w:lang w:val="en-US" w:eastAsia="zh-CN" w:bidi="ar"/>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Normal (Web)"/>
    <w:basedOn w:val="1"/>
    <w:qFormat/>
    <w:uiPriority w:val="0"/>
    <w:pPr>
      <w:widowControl/>
      <w:spacing w:before="0" w:beforeAutospacing="1" w:after="0" w:afterAutospacing="1"/>
      <w:ind w:left="0" w:right="0"/>
      <w:jc w:val="left"/>
    </w:pPr>
    <w:rPr>
      <w:rFonts w:ascii="宋体" w:hAnsi="宋体" w:eastAsia="宋体" w:cs="宋体"/>
      <w:kern w:val="0"/>
      <w:sz w:val="24"/>
      <w:szCs w:val="24"/>
      <w:lang w:val="en-US" w:eastAsia="zh-CN" w:bidi="ar"/>
    </w:rPr>
  </w:style>
  <w:style w:type="table" w:styleId="14">
    <w:name w:val="Table Grid"/>
    <w:basedOn w:val="13"/>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16">
    <w:name w:val="msolistparagraph"/>
    <w:basedOn w:val="1"/>
    <w:qFormat/>
    <w:uiPriority w:val="0"/>
    <w:pPr>
      <w:keepNext w:val="0"/>
      <w:keepLines w:val="0"/>
      <w:widowControl w:val="0"/>
      <w:suppressLineNumbers w:val="0"/>
      <w:spacing w:before="66" w:beforeAutospacing="0" w:after="0" w:afterAutospacing="0"/>
      <w:ind w:left="457" w:right="0" w:hanging="358"/>
      <w:jc w:val="both"/>
    </w:pPr>
    <w:rPr>
      <w:rFonts w:hint="eastAsia" w:ascii="微软雅黑" w:hAnsi="微软雅黑" w:eastAsia="微软雅黑" w:cs="微软雅黑"/>
      <w:kern w:val="2"/>
      <w:sz w:val="21"/>
      <w:szCs w:val="21"/>
      <w:lang w:val="en-US" w:eastAsia="zh-CN" w:bidi="ar"/>
    </w:rPr>
  </w:style>
  <w:style w:type="paragraph" w:customStyle="1" w:styleId="17">
    <w:name w:val="List Paragraph"/>
    <w:basedOn w:val="1"/>
    <w:qFormat/>
    <w:uiPriority w:val="0"/>
    <w:pPr>
      <w:keepNext w:val="0"/>
      <w:keepLines w:val="0"/>
      <w:widowControl w:val="0"/>
      <w:suppressLineNumbers w:val="0"/>
      <w:spacing w:before="66" w:beforeAutospacing="0"/>
      <w:ind w:left="457" w:hanging="358"/>
      <w:jc w:val="both"/>
    </w:pPr>
    <w:rPr>
      <w:rFonts w:hint="eastAsia" w:ascii="微软雅黑" w:hAnsi="微软雅黑" w:eastAsia="微软雅黑" w:cs="微软雅黑"/>
      <w:kern w:val="2"/>
      <w:sz w:val="21"/>
      <w:szCs w:val="21"/>
      <w:lang w:val="en-US" w:eastAsia="zh-CN" w:bidi="ar"/>
    </w:rPr>
  </w:style>
  <w:style w:type="table" w:customStyle="1" w:styleId="18">
    <w:name w:val="Table Normal"/>
    <w:basedOn w:val="13"/>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0" w:type="dxa"/>
        <w:bottom w:w="0" w:type="dxa"/>
        <w:right w:w="0" w:type="dxa"/>
      </w:tblCellMar>
    </w:tblPr>
  </w:style>
  <w:style w:type="character" w:customStyle="1" w:styleId="19">
    <w:name w:val="10"/>
    <w:basedOn w:val="15"/>
    <w:qFormat/>
    <w:uiPriority w:val="0"/>
    <w:rPr>
      <w:rFonts w:hint="default" w:ascii="Times New Roman" w:hAnsi="Times New Roman" w:cs="Times New Roman"/>
    </w:rPr>
  </w:style>
  <w:style w:type="character" w:customStyle="1" w:styleId="20">
    <w:name w:val="15"/>
    <w:basedOn w:val="15"/>
    <w:qFormat/>
    <w:uiPriority w:val="0"/>
    <w:rPr>
      <w:rFonts w:hint="default" w:ascii="Times New Roman" w:hAnsi="Times New Roman" w:cs="Times New Roman"/>
    </w:rPr>
  </w:style>
  <w:style w:type="character" w:customStyle="1" w:styleId="21">
    <w:name w:val="font11"/>
    <w:basedOn w:val="15"/>
    <w:qFormat/>
    <w:uiPriority w:val="0"/>
    <w:rPr>
      <w:rFonts w:hint="eastAsia" w:ascii="仿宋_GB2312" w:eastAsia="仿宋_GB2312" w:cs="仿宋_GB2312"/>
      <w:color w:val="000000"/>
      <w:sz w:val="24"/>
      <w:szCs w:val="24"/>
      <w:u w:val="none"/>
    </w:rPr>
  </w:style>
  <w:style w:type="character" w:customStyle="1" w:styleId="22">
    <w:name w:val="font21"/>
    <w:basedOn w:val="15"/>
    <w:qFormat/>
    <w:uiPriority w:val="0"/>
    <w:rPr>
      <w:rFonts w:hint="default" w:ascii="Calibri" w:hAnsi="Calibri" w:cs="Calibri"/>
      <w:color w:val="000000"/>
      <w:sz w:val="21"/>
      <w:szCs w:val="21"/>
      <w:u w:val="none"/>
    </w:rPr>
  </w:style>
  <w:style w:type="paragraph" w:customStyle="1" w:styleId="23">
    <w:name w:val="WPSOffice手动目录 1"/>
    <w:qFormat/>
    <w:uiPriority w:val="0"/>
    <w:pPr>
      <w:ind w:leftChars="0"/>
    </w:pPr>
    <w:rPr>
      <w:rFonts w:ascii="Times New Roman" w:hAnsi="Times New Roman" w:eastAsia="宋体" w:cs="Times New Roman"/>
      <w:sz w:val="20"/>
      <w:szCs w:val="20"/>
    </w:rPr>
  </w:style>
  <w:style w:type="paragraph" w:customStyle="1" w:styleId="24">
    <w:name w:val="WPSOffice手动目录 2"/>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85</Pages>
  <Words>35882</Words>
  <Characters>36714</Characters>
  <Lines>0</Lines>
  <Paragraphs>0</Paragraphs>
  <TotalTime>1</TotalTime>
  <ScaleCrop>false</ScaleCrop>
  <LinksUpToDate>false</LinksUpToDate>
  <CharactersWithSpaces>36778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2023-01-11T04:04:00Z</dcterms:created>
  <dc:creator>笑笑妈</dc:creator>
  <cp:lastModifiedBy>盛斐</cp:lastModifiedBy>
  <dcterms:modified xsi:type="dcterms:W3CDTF">2023-06-23T08:38:29Z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FB50D4689DD2439CBD11FCC81BEF3339</vt:lpwstr>
  </property>
</Properties>
</file>